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5174" w14:textId="77777777" w:rsidR="00E915E8" w:rsidRDefault="00E915E8" w:rsidP="00225B81">
      <w:pPr>
        <w:spacing w:after="0" w:line="240" w:lineRule="auto"/>
        <w:rPr>
          <w:rFonts w:eastAsia="Times New Roman" w:cs="Times New Roman"/>
          <w:bCs/>
          <w:sz w:val="20"/>
          <w:szCs w:val="20"/>
        </w:rPr>
        <w:sectPr w:rsidR="00E915E8" w:rsidSect="00E915E8">
          <w:headerReference w:type="default" r:id="rId10"/>
          <w:pgSz w:w="12240" w:h="15840"/>
          <w:pgMar w:top="1440" w:right="1440" w:bottom="1440" w:left="1440" w:header="720" w:footer="720" w:gutter="0"/>
          <w:cols w:num="2" w:space="720"/>
          <w:docGrid w:linePitch="360"/>
        </w:sectPr>
      </w:pPr>
    </w:p>
    <w:p w14:paraId="16F6D11B" w14:textId="18AACBD1" w:rsidR="007225C5" w:rsidRPr="00E915E8" w:rsidRDefault="00541069" w:rsidP="00225B81">
      <w:pPr>
        <w:spacing w:after="0" w:line="240" w:lineRule="auto"/>
        <w:rPr>
          <w:rFonts w:eastAsia="Times New Roman" w:cs="Times New Roman"/>
          <w:b/>
          <w:bCs/>
          <w:sz w:val="20"/>
          <w:szCs w:val="20"/>
        </w:rPr>
      </w:pPr>
      <w:r>
        <w:rPr>
          <w:rFonts w:eastAsia="Times New Roman" w:cs="Times New Roman"/>
          <w:b/>
          <w:bCs/>
          <w:sz w:val="20"/>
          <w:szCs w:val="20"/>
        </w:rPr>
        <w:t>Participants:</w:t>
      </w:r>
    </w:p>
    <w:p w14:paraId="7124D4A4" w14:textId="77777777" w:rsidR="00E915E8" w:rsidRDefault="00E915E8" w:rsidP="00E915E8">
      <w:pPr>
        <w:spacing w:after="0" w:line="240" w:lineRule="auto"/>
        <w:rPr>
          <w:rFonts w:eastAsia="Times New Roman" w:cs="Times New Roman"/>
          <w:bCs/>
          <w:sz w:val="20"/>
          <w:szCs w:val="20"/>
        </w:rPr>
        <w:sectPr w:rsidR="00E915E8" w:rsidSect="00E915E8">
          <w:type w:val="continuous"/>
          <w:pgSz w:w="12240" w:h="15840"/>
          <w:pgMar w:top="1440" w:right="1440" w:bottom="1440" w:left="1440" w:header="720" w:footer="720" w:gutter="0"/>
          <w:cols w:space="720"/>
          <w:docGrid w:linePitch="360"/>
        </w:sectPr>
      </w:pPr>
    </w:p>
    <w:p w14:paraId="2F681690" w14:textId="5B080742"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Deb Klenotic, PA DEP (Lead)</w:t>
      </w:r>
    </w:p>
    <w:p w14:paraId="47366A47" w14:textId="487DAC55"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Rebecca Chillrud, CRC/CBP (Staff)</w:t>
      </w:r>
    </w:p>
    <w:p w14:paraId="173F8432" w14:textId="0A4A7C68"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Rachel Felver, ACB/CBP</w:t>
      </w:r>
    </w:p>
    <w:p w14:paraId="66935062" w14:textId="334A44F8" w:rsidR="00434717" w:rsidRPr="00274CCE" w:rsidRDefault="00434717" w:rsidP="00E915E8">
      <w:pPr>
        <w:spacing w:after="0" w:line="240" w:lineRule="auto"/>
        <w:rPr>
          <w:rFonts w:eastAsia="Times New Roman" w:cs="Times New Roman"/>
          <w:bCs/>
          <w:sz w:val="20"/>
          <w:szCs w:val="20"/>
        </w:rPr>
      </w:pPr>
      <w:r w:rsidRPr="00274CCE">
        <w:rPr>
          <w:rFonts w:eastAsia="Times New Roman" w:cs="Times New Roman"/>
          <w:bCs/>
          <w:sz w:val="20"/>
          <w:szCs w:val="20"/>
        </w:rPr>
        <w:t>Mary Gattis, ACB/LGAC</w:t>
      </w:r>
    </w:p>
    <w:p w14:paraId="44BBD239" w14:textId="77777777"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Phil Miller, DNREC</w:t>
      </w:r>
    </w:p>
    <w:p w14:paraId="5C71404A" w14:textId="10983280" w:rsidR="00BF508C" w:rsidRPr="00274CCE" w:rsidRDefault="00BF508C" w:rsidP="00E915E8">
      <w:pPr>
        <w:spacing w:after="0" w:line="240" w:lineRule="auto"/>
        <w:rPr>
          <w:rFonts w:eastAsia="Times New Roman" w:cs="Times New Roman"/>
          <w:bCs/>
          <w:sz w:val="20"/>
          <w:szCs w:val="20"/>
        </w:rPr>
      </w:pPr>
      <w:r w:rsidRPr="00274CCE">
        <w:rPr>
          <w:rFonts w:eastAsia="Times New Roman" w:cs="Times New Roman"/>
          <w:bCs/>
          <w:sz w:val="20"/>
          <w:szCs w:val="20"/>
        </w:rPr>
        <w:t>Jennifer Starr, ACB/Local Leadership Workgroup</w:t>
      </w:r>
    </w:p>
    <w:p w14:paraId="5CEAD886" w14:textId="77777777" w:rsidR="00E915E8" w:rsidRPr="00E915E8"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Kathy Stecker, MDE</w:t>
      </w:r>
    </w:p>
    <w:p w14:paraId="3AB90BF1" w14:textId="77777777" w:rsidR="00E915E8" w:rsidRDefault="00E915E8" w:rsidP="00225B81">
      <w:pPr>
        <w:spacing w:after="0" w:line="240" w:lineRule="auto"/>
        <w:rPr>
          <w:rFonts w:eastAsia="Times New Roman" w:cs="Times New Roman"/>
          <w:b/>
          <w:bCs/>
          <w:sz w:val="20"/>
          <w:szCs w:val="20"/>
        </w:rPr>
        <w:sectPr w:rsidR="00E915E8" w:rsidSect="00E915E8">
          <w:type w:val="continuous"/>
          <w:pgSz w:w="12240" w:h="15840"/>
          <w:pgMar w:top="1440" w:right="1440" w:bottom="1440" w:left="1440" w:header="720" w:footer="720" w:gutter="0"/>
          <w:cols w:num="2" w:space="720"/>
          <w:docGrid w:linePitch="360"/>
        </w:sectPr>
      </w:pPr>
    </w:p>
    <w:p w14:paraId="74B161AE" w14:textId="2CFE8174" w:rsidR="00FB12DA" w:rsidRPr="00660129" w:rsidRDefault="00FB12DA" w:rsidP="00225B81">
      <w:pPr>
        <w:spacing w:after="0" w:line="240" w:lineRule="auto"/>
        <w:rPr>
          <w:rFonts w:eastAsia="Times New Roman" w:cs="Times New Roman"/>
          <w:b/>
          <w:bCs/>
          <w:sz w:val="20"/>
          <w:szCs w:val="20"/>
        </w:rPr>
      </w:pPr>
    </w:p>
    <w:p w14:paraId="1C0ACC7E" w14:textId="77777777" w:rsidR="00225B81" w:rsidRPr="00660129" w:rsidRDefault="00225B81" w:rsidP="00225B81">
      <w:pPr>
        <w:spacing w:after="0" w:line="240" w:lineRule="auto"/>
        <w:rPr>
          <w:rFonts w:eastAsia="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tblGrid>
      <w:tr w:rsidR="00527284" w:rsidRPr="00660129" w14:paraId="40A118BC" w14:textId="77777777" w:rsidTr="00225B81">
        <w:tc>
          <w:tcPr>
            <w:tcW w:w="8095" w:type="dxa"/>
          </w:tcPr>
          <w:p w14:paraId="059FEB0D" w14:textId="4048C990" w:rsidR="00527284" w:rsidRDefault="00527284" w:rsidP="00527284">
            <w:pPr>
              <w:pStyle w:val="ListParagraph"/>
              <w:numPr>
                <w:ilvl w:val="0"/>
                <w:numId w:val="20"/>
              </w:numPr>
              <w:rPr>
                <w:rFonts w:eastAsia="Times New Roman" w:cs="Times New Roman"/>
                <w:b/>
                <w:szCs w:val="20"/>
              </w:rPr>
            </w:pPr>
            <w:r w:rsidRPr="00527284">
              <w:rPr>
                <w:rFonts w:eastAsia="Times New Roman" w:cs="Times New Roman"/>
                <w:b/>
                <w:szCs w:val="20"/>
              </w:rPr>
              <w:t>Welcome and roll call</w:t>
            </w:r>
          </w:p>
          <w:p w14:paraId="43696FC8" w14:textId="77777777" w:rsidR="00527284" w:rsidRDefault="00527284" w:rsidP="00527284">
            <w:pPr>
              <w:pStyle w:val="ListParagraph"/>
              <w:ind w:left="1080"/>
              <w:rPr>
                <w:rFonts w:eastAsia="Times New Roman" w:cs="Times New Roman"/>
                <w:b/>
                <w:szCs w:val="20"/>
              </w:rPr>
            </w:pPr>
          </w:p>
          <w:p w14:paraId="6A3A5F18" w14:textId="3EF216A9" w:rsidR="00527284" w:rsidRDefault="00527284" w:rsidP="00527284">
            <w:pPr>
              <w:pStyle w:val="ListParagraph"/>
              <w:numPr>
                <w:ilvl w:val="0"/>
                <w:numId w:val="20"/>
              </w:numPr>
              <w:rPr>
                <w:rFonts w:eastAsia="Times New Roman" w:cs="Times New Roman"/>
                <w:b/>
                <w:szCs w:val="20"/>
              </w:rPr>
            </w:pPr>
            <w:r>
              <w:rPr>
                <w:rFonts w:eastAsia="Times New Roman" w:cs="Times New Roman"/>
                <w:b/>
                <w:szCs w:val="20"/>
              </w:rPr>
              <w:t>Member updates</w:t>
            </w:r>
          </w:p>
          <w:p w14:paraId="31EDDA3D" w14:textId="77777777" w:rsidR="00527284" w:rsidRPr="00527284" w:rsidRDefault="00527284" w:rsidP="00527284">
            <w:pPr>
              <w:pStyle w:val="ListParagraph"/>
              <w:rPr>
                <w:rFonts w:eastAsia="Times New Roman" w:cs="Times New Roman"/>
                <w:b/>
                <w:szCs w:val="20"/>
              </w:rPr>
            </w:pPr>
          </w:p>
          <w:p w14:paraId="744D5DDB" w14:textId="44045933" w:rsidR="00451622" w:rsidRDefault="000F4C37" w:rsidP="000F4C37">
            <w:pPr>
              <w:pStyle w:val="ListParagraph"/>
              <w:numPr>
                <w:ilvl w:val="1"/>
                <w:numId w:val="20"/>
              </w:numPr>
              <w:rPr>
                <w:rFonts w:eastAsia="Times New Roman" w:cs="Times New Roman"/>
                <w:szCs w:val="20"/>
              </w:rPr>
            </w:pPr>
            <w:r>
              <w:rPr>
                <w:rFonts w:eastAsia="Times New Roman" w:cs="Times New Roman"/>
                <w:szCs w:val="20"/>
              </w:rPr>
              <w:t xml:space="preserve">CCWC: Guides are going through state review and are almost ready to be issued. These will be shared with the Action Team. </w:t>
            </w:r>
            <w:r w:rsidRPr="000F4C37">
              <w:rPr>
                <w:rFonts w:eastAsia="Times New Roman" w:cs="Times New Roman"/>
                <w:szCs w:val="20"/>
              </w:rPr>
              <w:t>PA has one-page handouts focusing on agriculture, municipalities and environmental organizations (wholesale level – but really need more of a retail level as well).</w:t>
            </w:r>
            <w:r>
              <w:rPr>
                <w:rFonts w:eastAsia="Times New Roman" w:cs="Times New Roman"/>
                <w:szCs w:val="20"/>
              </w:rPr>
              <w:t xml:space="preserve"> </w:t>
            </w:r>
            <w:r w:rsidRPr="000F4C37">
              <w:rPr>
                <w:rFonts w:eastAsia="Times New Roman" w:cs="Times New Roman"/>
                <w:szCs w:val="20"/>
              </w:rPr>
              <w:t>Idea is that anyone can take these and fully adjust them for the asks of the states. Kristin will pass around after her TMDL Workgroup finishes their review.</w:t>
            </w:r>
          </w:p>
          <w:p w14:paraId="571EA1A8" w14:textId="4BD0B13A" w:rsidR="000F4C37" w:rsidRPr="000F4C37" w:rsidRDefault="000F4C37" w:rsidP="000F4C37">
            <w:pPr>
              <w:pStyle w:val="ListParagraph"/>
              <w:numPr>
                <w:ilvl w:val="1"/>
                <w:numId w:val="20"/>
              </w:numPr>
              <w:rPr>
                <w:rFonts w:eastAsia="Times New Roman" w:cs="Times New Roman"/>
                <w:szCs w:val="20"/>
              </w:rPr>
            </w:pPr>
            <w:r>
              <w:rPr>
                <w:rFonts w:eastAsia="Times New Roman" w:cs="Times New Roman"/>
                <w:szCs w:val="20"/>
              </w:rPr>
              <w:t xml:space="preserve">PA: </w:t>
            </w:r>
            <w:r w:rsidRPr="000F4C37">
              <w:rPr>
                <w:rFonts w:eastAsia="Times New Roman" w:cs="Times New Roman"/>
                <w:szCs w:val="20"/>
              </w:rPr>
              <w:t>Lancaster and York County have completed county-level action plans. Franklin and Adams will complete theirs at the end of February and will present at the March Steering Committee meeting. Sector workgroups have created recommendations for ag, stormwater and wastewater. Different communications related to these are being developed.</w:t>
            </w:r>
            <w:r>
              <w:rPr>
                <w:rFonts w:eastAsia="Times New Roman" w:cs="Times New Roman"/>
                <w:szCs w:val="20"/>
              </w:rPr>
              <w:t xml:space="preserve"> </w:t>
            </w:r>
          </w:p>
          <w:p w14:paraId="577B4378" w14:textId="2A29BF39" w:rsidR="00451622" w:rsidRDefault="000F4C37" w:rsidP="00527284">
            <w:pPr>
              <w:pStyle w:val="ListParagraph"/>
              <w:numPr>
                <w:ilvl w:val="1"/>
                <w:numId w:val="20"/>
              </w:numPr>
              <w:rPr>
                <w:rFonts w:eastAsia="Times New Roman" w:cs="Times New Roman"/>
                <w:szCs w:val="20"/>
              </w:rPr>
            </w:pPr>
            <w:r>
              <w:rPr>
                <w:rFonts w:eastAsia="Times New Roman" w:cs="Times New Roman"/>
                <w:szCs w:val="20"/>
              </w:rPr>
              <w:t>DE</w:t>
            </w:r>
            <w:r w:rsidR="00451622">
              <w:rPr>
                <w:rFonts w:eastAsia="Times New Roman" w:cs="Times New Roman"/>
                <w:szCs w:val="20"/>
              </w:rPr>
              <w:t xml:space="preserve">: </w:t>
            </w:r>
            <w:r w:rsidRPr="000F4C37">
              <w:rPr>
                <w:rFonts w:eastAsia="Times New Roman" w:cs="Times New Roman"/>
                <w:szCs w:val="20"/>
              </w:rPr>
              <w:t>Communications subcommittee met last week to updated communications plan and engagement strategy to include EPA expectations, including timeline and the role of our partners. Putting each strategy on a timeline.</w:t>
            </w:r>
          </w:p>
          <w:p w14:paraId="335CAD3C" w14:textId="786C110D" w:rsidR="00451622" w:rsidRPr="00527284" w:rsidRDefault="000F4C37" w:rsidP="00527284">
            <w:pPr>
              <w:pStyle w:val="ListParagraph"/>
              <w:numPr>
                <w:ilvl w:val="1"/>
                <w:numId w:val="20"/>
              </w:numPr>
              <w:rPr>
                <w:rFonts w:eastAsia="Times New Roman" w:cs="Times New Roman"/>
                <w:szCs w:val="20"/>
              </w:rPr>
            </w:pPr>
            <w:r>
              <w:rPr>
                <w:rFonts w:eastAsia="Times New Roman" w:cs="Times New Roman"/>
                <w:szCs w:val="20"/>
              </w:rPr>
              <w:t>MD</w:t>
            </w:r>
            <w:r w:rsidR="00451622">
              <w:rPr>
                <w:rFonts w:eastAsia="Times New Roman" w:cs="Times New Roman"/>
                <w:szCs w:val="20"/>
              </w:rPr>
              <w:t>:</w:t>
            </w:r>
            <w:r>
              <w:rPr>
                <w:rFonts w:eastAsia="Times New Roman" w:cs="Times New Roman"/>
                <w:szCs w:val="20"/>
              </w:rPr>
              <w:t xml:space="preserve"> </w:t>
            </w:r>
            <w:r w:rsidRPr="000F4C37">
              <w:rPr>
                <w:rFonts w:eastAsia="Times New Roman" w:cs="Times New Roman"/>
                <w:szCs w:val="20"/>
              </w:rPr>
              <w:t>Writing draft WIP; all teams have submitted their info. Will present to Bay Cabinet next Wednesday (2/13) for approval and to incorporate their feedback. Have meetings with some organizations coming up to discuss how MD incorporated feedback.</w:t>
            </w:r>
          </w:p>
          <w:p w14:paraId="1E46FF06" w14:textId="77777777" w:rsidR="00527284" w:rsidRDefault="00527284" w:rsidP="00527284">
            <w:pPr>
              <w:pStyle w:val="ListParagraph"/>
              <w:ind w:left="1440"/>
              <w:rPr>
                <w:rFonts w:eastAsia="Times New Roman" w:cs="Times New Roman"/>
                <w:b/>
                <w:szCs w:val="20"/>
              </w:rPr>
            </w:pPr>
          </w:p>
          <w:p w14:paraId="705B43BB" w14:textId="2C7A1FD1" w:rsidR="00527284" w:rsidRDefault="00527284" w:rsidP="00527284">
            <w:pPr>
              <w:pStyle w:val="ListParagraph"/>
              <w:numPr>
                <w:ilvl w:val="0"/>
                <w:numId w:val="20"/>
              </w:numPr>
              <w:rPr>
                <w:rFonts w:eastAsia="Times New Roman" w:cs="Times New Roman"/>
                <w:b/>
                <w:szCs w:val="20"/>
              </w:rPr>
            </w:pPr>
            <w:r>
              <w:rPr>
                <w:rFonts w:eastAsia="Times New Roman" w:cs="Times New Roman"/>
                <w:b/>
                <w:szCs w:val="20"/>
              </w:rPr>
              <w:t>Gathering success stories</w:t>
            </w:r>
          </w:p>
          <w:p w14:paraId="64235EA8" w14:textId="77777777" w:rsidR="00527284" w:rsidRDefault="00527284" w:rsidP="00527284">
            <w:pPr>
              <w:pStyle w:val="ListParagraph"/>
              <w:ind w:left="1080"/>
              <w:rPr>
                <w:rFonts w:eastAsia="Times New Roman" w:cs="Times New Roman"/>
                <w:b/>
                <w:szCs w:val="20"/>
              </w:rPr>
            </w:pPr>
          </w:p>
          <w:p w14:paraId="0259074F" w14:textId="0042D4AF" w:rsidR="00527284" w:rsidRDefault="00451622" w:rsidP="00527284">
            <w:pPr>
              <w:pStyle w:val="ListParagraph"/>
              <w:numPr>
                <w:ilvl w:val="1"/>
                <w:numId w:val="20"/>
              </w:numPr>
              <w:rPr>
                <w:rFonts w:eastAsia="Times New Roman" w:cs="Times New Roman"/>
                <w:szCs w:val="20"/>
              </w:rPr>
            </w:pPr>
            <w:r>
              <w:rPr>
                <w:rFonts w:eastAsia="Times New Roman" w:cs="Times New Roman"/>
                <w:szCs w:val="20"/>
              </w:rPr>
              <w:t xml:space="preserve">Working with local WIP III planners to talk about benefits of BMPs, especially talking about successful projects that had non-environmental benefits: other community benefits or economic benefits. Many communities identify infrastructure, public health, economic issues as their priorities, so can we find stories that show how BMPs bring broader benefits to these priorities. </w:t>
            </w:r>
          </w:p>
          <w:p w14:paraId="1EE5ECC8" w14:textId="71B60183" w:rsidR="00451622" w:rsidRDefault="00451622" w:rsidP="00527284">
            <w:pPr>
              <w:pStyle w:val="ListParagraph"/>
              <w:numPr>
                <w:ilvl w:val="1"/>
                <w:numId w:val="20"/>
              </w:numPr>
              <w:rPr>
                <w:rFonts w:eastAsia="Times New Roman" w:cs="Times New Roman"/>
                <w:szCs w:val="20"/>
              </w:rPr>
            </w:pPr>
            <w:r>
              <w:rPr>
                <w:rFonts w:eastAsia="Times New Roman" w:cs="Times New Roman"/>
                <w:szCs w:val="20"/>
              </w:rPr>
              <w:t xml:space="preserve">Deb crated a template for success stories that we can use. We would like to have success stories from all seven jurisdictions. Should include </w:t>
            </w:r>
            <w:r>
              <w:rPr>
                <w:rFonts w:eastAsia="Times New Roman" w:cs="Times New Roman"/>
                <w:szCs w:val="20"/>
              </w:rPr>
              <w:lastRenderedPageBreak/>
              <w:t xml:space="preserve">name of business, farm, landowner or town; </w:t>
            </w:r>
            <w:r w:rsidR="00493A9A">
              <w:rPr>
                <w:rFonts w:eastAsia="Times New Roman" w:cs="Times New Roman"/>
                <w:szCs w:val="20"/>
              </w:rPr>
              <w:t xml:space="preserve">funding; </w:t>
            </w:r>
            <w:r>
              <w:rPr>
                <w:rFonts w:eastAsia="Times New Roman" w:cs="Times New Roman"/>
                <w:szCs w:val="20"/>
              </w:rPr>
              <w:t>contact info; location; successful nonenvironmental benefit they’re getting from the BMP; environmental gain they’re getting; which BMP is in place; is the story already available in some format or is this something we can provide?</w:t>
            </w:r>
          </w:p>
          <w:p w14:paraId="6C85FE07" w14:textId="4909D3BE" w:rsidR="00451622" w:rsidRDefault="00451622" w:rsidP="00527284">
            <w:pPr>
              <w:pStyle w:val="ListParagraph"/>
              <w:numPr>
                <w:ilvl w:val="1"/>
                <w:numId w:val="20"/>
              </w:numPr>
              <w:rPr>
                <w:rFonts w:eastAsia="Times New Roman" w:cs="Times New Roman"/>
                <w:szCs w:val="20"/>
              </w:rPr>
            </w:pPr>
            <w:r>
              <w:rPr>
                <w:rFonts w:eastAsia="Times New Roman" w:cs="Times New Roman"/>
                <w:szCs w:val="20"/>
              </w:rPr>
              <w:t>Happy hollow farm in PA that put in multi-functional buffers</w:t>
            </w:r>
            <w:r w:rsidR="00493A9A">
              <w:rPr>
                <w:rFonts w:eastAsia="Times New Roman" w:cs="Times New Roman"/>
                <w:szCs w:val="20"/>
              </w:rPr>
              <w:t xml:space="preserve"> and is getting economic benefits from honey sales</w:t>
            </w:r>
          </w:p>
          <w:p w14:paraId="190D0122" w14:textId="2CDF2E30" w:rsidR="00493A9A" w:rsidRDefault="00493A9A" w:rsidP="00527284">
            <w:pPr>
              <w:pStyle w:val="ListParagraph"/>
              <w:numPr>
                <w:ilvl w:val="1"/>
                <w:numId w:val="20"/>
              </w:numPr>
              <w:rPr>
                <w:rFonts w:eastAsia="Times New Roman" w:cs="Times New Roman"/>
                <w:szCs w:val="20"/>
              </w:rPr>
            </w:pPr>
            <w:r>
              <w:rPr>
                <w:rFonts w:eastAsia="Times New Roman" w:cs="Times New Roman"/>
                <w:szCs w:val="20"/>
              </w:rPr>
              <w:t xml:space="preserve">Rachel: Richmond </w:t>
            </w:r>
            <w:r w:rsidR="000F4C37">
              <w:rPr>
                <w:rFonts w:eastAsia="Times New Roman" w:cs="Times New Roman"/>
                <w:szCs w:val="20"/>
              </w:rPr>
              <w:t>VA</w:t>
            </w:r>
            <w:r>
              <w:rPr>
                <w:rFonts w:eastAsia="Times New Roman" w:cs="Times New Roman"/>
                <w:szCs w:val="20"/>
              </w:rPr>
              <w:t xml:space="preserve"> green alleys pilot project; for stormwater management program to show how low-impact development projects could be used and would be helpful for public infrastructure. Transformed alleys into models for environmental infrastructure. Nonenvironmental benefit: opened up opportunity for development in areas that were previously run-down. Environmental: urban tree canopy, stormwater, air pollution. </w:t>
            </w:r>
          </w:p>
          <w:p w14:paraId="333C2752" w14:textId="5466DA5B" w:rsidR="00493A9A" w:rsidRDefault="00493A9A" w:rsidP="00527284">
            <w:pPr>
              <w:pStyle w:val="ListParagraph"/>
              <w:numPr>
                <w:ilvl w:val="1"/>
                <w:numId w:val="20"/>
              </w:numPr>
              <w:rPr>
                <w:rFonts w:eastAsia="Times New Roman" w:cs="Times New Roman"/>
                <w:szCs w:val="20"/>
              </w:rPr>
            </w:pPr>
            <w:r>
              <w:rPr>
                <w:rFonts w:eastAsia="Times New Roman" w:cs="Times New Roman"/>
                <w:szCs w:val="20"/>
              </w:rPr>
              <w:t>Commentary from group:</w:t>
            </w:r>
          </w:p>
          <w:p w14:paraId="08D3ADED" w14:textId="2A08CF3E" w:rsidR="00493A9A" w:rsidRDefault="00493A9A" w:rsidP="00527284">
            <w:pPr>
              <w:pStyle w:val="ListParagraph"/>
              <w:numPr>
                <w:ilvl w:val="1"/>
                <w:numId w:val="20"/>
              </w:numPr>
              <w:rPr>
                <w:rFonts w:eastAsia="Times New Roman" w:cs="Times New Roman"/>
                <w:szCs w:val="20"/>
              </w:rPr>
            </w:pPr>
            <w:r>
              <w:rPr>
                <w:rFonts w:eastAsia="Times New Roman" w:cs="Times New Roman"/>
                <w:szCs w:val="20"/>
              </w:rPr>
              <w:t>Jennifer: Q: Are the landowner case studies that are available on the new Wetlands Work website appropriate for this? A: Yes, these are pretty much tailor-made for this kind of thing and could easily be repurposed for this. Jennifer will ask Margot to take that on.</w:t>
            </w:r>
          </w:p>
          <w:p w14:paraId="2F033618" w14:textId="5AAC2E38" w:rsidR="00493A9A" w:rsidRDefault="00493A9A" w:rsidP="00527284">
            <w:pPr>
              <w:pStyle w:val="ListParagraph"/>
              <w:numPr>
                <w:ilvl w:val="1"/>
                <w:numId w:val="20"/>
              </w:numPr>
              <w:rPr>
                <w:rFonts w:eastAsia="Times New Roman" w:cs="Times New Roman"/>
                <w:szCs w:val="20"/>
              </w:rPr>
            </w:pPr>
            <w:r>
              <w:rPr>
                <w:rFonts w:eastAsia="Times New Roman" w:cs="Times New Roman"/>
                <w:szCs w:val="20"/>
              </w:rPr>
              <w:t>Who can we reach out to for these stories? Deb has shared with DCNR and other DEP contacts to see if they have good example stories or leads. Kristin: is a good role for CCWC, are putting together some videos about various member projects throughout the watershed and will include info on funding and benefits. Can always cut the videos differently for different purposes. Jennifer: Mark Roberts, State College partner 814 234 7457 for USFWS</w:t>
            </w:r>
            <w:r w:rsidR="00344EEF">
              <w:rPr>
                <w:rFonts w:eastAsia="Times New Roman" w:cs="Times New Roman"/>
                <w:szCs w:val="20"/>
              </w:rPr>
              <w:t xml:space="preserve">, works with private landowners to implement a variety of habitat restoration projects, many of which could be repurposed for this and are BMP practices. Mark would be able to point us to landowners that would be able to talk about benefits and esp. non-environmental benefits. Would B4B be a good source? It’s not generally BMP focused, more focused on general green business practices. TetraTech has been helping us put together a database of success projects, which includes some from MOST, NFWF. Kristin: Lancaster Clean Water Partners would be a good source for success stories, </w:t>
            </w:r>
            <w:r w:rsidR="000F4C37">
              <w:rPr>
                <w:rFonts w:eastAsia="Times New Roman" w:cs="Times New Roman"/>
                <w:szCs w:val="20"/>
              </w:rPr>
              <w:t>esp.</w:t>
            </w:r>
            <w:r w:rsidR="00344EEF">
              <w:rPr>
                <w:rFonts w:eastAsia="Times New Roman" w:cs="Times New Roman"/>
                <w:szCs w:val="20"/>
              </w:rPr>
              <w:t xml:space="preserve"> related to Turkey Hill. President of Turkey Hill gave a talk at CCWC conference last year and talked about why as a business he’s involved with clean water efforts. He works with producers and requires certain environmental practices, may be able to connect us to producers that have implemented practices successfully. </w:t>
            </w:r>
          </w:p>
          <w:p w14:paraId="44F9410E" w14:textId="4428E3F4" w:rsidR="00493A9A" w:rsidRDefault="00344EEF" w:rsidP="00527284">
            <w:pPr>
              <w:pStyle w:val="ListParagraph"/>
              <w:numPr>
                <w:ilvl w:val="1"/>
                <w:numId w:val="20"/>
              </w:numPr>
              <w:rPr>
                <w:rFonts w:eastAsia="Times New Roman" w:cs="Times New Roman"/>
                <w:szCs w:val="20"/>
              </w:rPr>
            </w:pPr>
            <w:r>
              <w:rPr>
                <w:rFonts w:eastAsia="Times New Roman" w:cs="Times New Roman"/>
                <w:szCs w:val="20"/>
              </w:rPr>
              <w:t>Action: Everyone identify five stories that could be used from your area of the watershed, or broader, by next meeting – February 19</w:t>
            </w:r>
            <w:r w:rsidRPr="00344EEF">
              <w:rPr>
                <w:rFonts w:eastAsia="Times New Roman" w:cs="Times New Roman"/>
                <w:szCs w:val="20"/>
                <w:vertAlign w:val="superscript"/>
              </w:rPr>
              <w:t>th</w:t>
            </w:r>
            <w:r>
              <w:rPr>
                <w:rFonts w:eastAsia="Times New Roman" w:cs="Times New Roman"/>
                <w:szCs w:val="20"/>
              </w:rPr>
              <w:t xml:space="preserve">. </w:t>
            </w:r>
          </w:p>
          <w:p w14:paraId="6FBDEFA3" w14:textId="1A75EF64" w:rsidR="00344EEF" w:rsidRPr="00527284" w:rsidRDefault="00344EEF" w:rsidP="00527284">
            <w:pPr>
              <w:pStyle w:val="ListParagraph"/>
              <w:numPr>
                <w:ilvl w:val="1"/>
                <w:numId w:val="20"/>
              </w:numPr>
              <w:rPr>
                <w:rFonts w:eastAsia="Times New Roman" w:cs="Times New Roman"/>
                <w:szCs w:val="20"/>
              </w:rPr>
            </w:pPr>
            <w:r>
              <w:rPr>
                <w:rFonts w:eastAsia="Times New Roman" w:cs="Times New Roman"/>
                <w:szCs w:val="20"/>
              </w:rPr>
              <w:t>Deb put together list of nine benefits that are non</w:t>
            </w:r>
            <w:r w:rsidR="00C627DD">
              <w:rPr>
                <w:rFonts w:eastAsia="Times New Roman" w:cs="Times New Roman"/>
                <w:szCs w:val="20"/>
              </w:rPr>
              <w:t>-</w:t>
            </w:r>
            <w:r>
              <w:rPr>
                <w:rFonts w:eastAsia="Times New Roman" w:cs="Times New Roman"/>
                <w:szCs w:val="20"/>
              </w:rPr>
              <w:t>environmental that we should aim to focus on with these success stories.</w:t>
            </w:r>
            <w:r w:rsidR="00C627DD">
              <w:rPr>
                <w:rFonts w:eastAsia="Times New Roman" w:cs="Times New Roman"/>
                <w:szCs w:val="20"/>
              </w:rPr>
              <w:t xml:space="preserve"> Second-level </w:t>
            </w:r>
            <w:r w:rsidR="00C627DD">
              <w:rPr>
                <w:rFonts w:eastAsia="Times New Roman" w:cs="Times New Roman"/>
                <w:szCs w:val="20"/>
              </w:rPr>
              <w:lastRenderedPageBreak/>
              <w:t>environmental benefits from the co</w:t>
            </w:r>
            <w:r w:rsidR="000F4C37">
              <w:rPr>
                <w:rFonts w:eastAsia="Times New Roman" w:cs="Times New Roman"/>
                <w:szCs w:val="20"/>
              </w:rPr>
              <w:t>-</w:t>
            </w:r>
            <w:bookmarkStart w:id="0" w:name="_GoBack"/>
            <w:bookmarkEnd w:id="0"/>
            <w:r w:rsidR="00C627DD">
              <w:rPr>
                <w:rFonts w:eastAsia="Times New Roman" w:cs="Times New Roman"/>
                <w:szCs w:val="20"/>
              </w:rPr>
              <w:t>benefit fact sheets are included as well. ACTION: Everyone review the list of nine and share any edits or additions.</w:t>
            </w:r>
          </w:p>
          <w:p w14:paraId="49B985EE" w14:textId="77777777" w:rsidR="00527284" w:rsidRDefault="00527284" w:rsidP="00527284">
            <w:pPr>
              <w:pStyle w:val="ListParagraph"/>
              <w:ind w:left="1440"/>
              <w:rPr>
                <w:rFonts w:eastAsia="Times New Roman" w:cs="Times New Roman"/>
                <w:b/>
                <w:szCs w:val="20"/>
              </w:rPr>
            </w:pPr>
          </w:p>
          <w:p w14:paraId="23AB62F9" w14:textId="1D007ED4" w:rsidR="00527284" w:rsidRDefault="00527284" w:rsidP="00527284">
            <w:pPr>
              <w:pStyle w:val="ListParagraph"/>
              <w:numPr>
                <w:ilvl w:val="0"/>
                <w:numId w:val="20"/>
              </w:numPr>
              <w:rPr>
                <w:rFonts w:eastAsia="Times New Roman" w:cs="Times New Roman"/>
                <w:b/>
                <w:szCs w:val="20"/>
              </w:rPr>
            </w:pPr>
            <w:r>
              <w:rPr>
                <w:rFonts w:eastAsia="Times New Roman" w:cs="Times New Roman"/>
                <w:b/>
                <w:szCs w:val="20"/>
              </w:rPr>
              <w:t>Dashboard demo</w:t>
            </w:r>
          </w:p>
          <w:p w14:paraId="370E5B57" w14:textId="1C1AF651" w:rsidR="00527284" w:rsidRDefault="00527284" w:rsidP="00527284">
            <w:pPr>
              <w:pStyle w:val="ListParagraph"/>
              <w:ind w:left="1440"/>
              <w:rPr>
                <w:rFonts w:eastAsia="Times New Roman" w:cs="Times New Roman"/>
                <w:b/>
                <w:szCs w:val="20"/>
              </w:rPr>
            </w:pPr>
          </w:p>
          <w:p w14:paraId="69E58220" w14:textId="5F10E31D" w:rsidR="00527284" w:rsidRDefault="00C627DD" w:rsidP="00527284">
            <w:pPr>
              <w:pStyle w:val="ListParagraph"/>
              <w:numPr>
                <w:ilvl w:val="1"/>
                <w:numId w:val="20"/>
              </w:numPr>
              <w:rPr>
                <w:rFonts w:eastAsia="Times New Roman" w:cs="Times New Roman"/>
                <w:szCs w:val="20"/>
              </w:rPr>
            </w:pPr>
            <w:r>
              <w:rPr>
                <w:rFonts w:eastAsia="Times New Roman" w:cs="Times New Roman"/>
                <w:szCs w:val="20"/>
              </w:rPr>
              <w:t>WIP Data Dashboard</w:t>
            </w:r>
          </w:p>
          <w:p w14:paraId="25E5C925" w14:textId="3A2E7FC6" w:rsidR="00C627DD" w:rsidRDefault="00C627DD" w:rsidP="00527284">
            <w:pPr>
              <w:pStyle w:val="ListParagraph"/>
              <w:numPr>
                <w:ilvl w:val="1"/>
                <w:numId w:val="20"/>
              </w:numPr>
              <w:rPr>
                <w:rFonts w:eastAsia="Times New Roman" w:cs="Times New Roman"/>
                <w:szCs w:val="20"/>
              </w:rPr>
            </w:pPr>
            <w:r>
              <w:rPr>
                <w:rFonts w:eastAsia="Times New Roman" w:cs="Times New Roman"/>
                <w:szCs w:val="20"/>
              </w:rPr>
              <w:t xml:space="preserve">Emily coordinates technical support to </w:t>
            </w:r>
            <w:r w:rsidR="000F4C37">
              <w:rPr>
                <w:rFonts w:eastAsia="Times New Roman" w:cs="Times New Roman"/>
                <w:szCs w:val="20"/>
              </w:rPr>
              <w:t>jurisdictions</w:t>
            </w:r>
            <w:r>
              <w:rPr>
                <w:rFonts w:eastAsia="Times New Roman" w:cs="Times New Roman"/>
                <w:szCs w:val="20"/>
              </w:rPr>
              <w:t xml:space="preserve">, including data that will help with WIP planning and implementation. </w:t>
            </w:r>
          </w:p>
          <w:p w14:paraId="17FB5AA0" w14:textId="4CB11495" w:rsidR="00C627DD" w:rsidRDefault="00C627DD" w:rsidP="00527284">
            <w:pPr>
              <w:pStyle w:val="ListParagraph"/>
              <w:numPr>
                <w:ilvl w:val="1"/>
                <w:numId w:val="20"/>
              </w:numPr>
              <w:rPr>
                <w:rFonts w:eastAsia="Times New Roman" w:cs="Times New Roman"/>
                <w:szCs w:val="20"/>
              </w:rPr>
            </w:pPr>
            <w:r>
              <w:rPr>
                <w:rFonts w:eastAsia="Times New Roman" w:cs="Times New Roman"/>
                <w:szCs w:val="20"/>
              </w:rPr>
              <w:t xml:space="preserve">Online dashboard ties together the technical info that would be helpful for WIP development and implementation. Have brought to partners and gotten feedback – plan to do some outreach with partners on how to use it. </w:t>
            </w:r>
          </w:p>
          <w:p w14:paraId="406F8407" w14:textId="531C61B3" w:rsidR="00C627DD" w:rsidRDefault="00C627DD" w:rsidP="00527284">
            <w:pPr>
              <w:pStyle w:val="ListParagraph"/>
              <w:numPr>
                <w:ilvl w:val="1"/>
                <w:numId w:val="20"/>
              </w:numPr>
              <w:rPr>
                <w:rFonts w:eastAsia="Times New Roman" w:cs="Times New Roman"/>
                <w:szCs w:val="20"/>
              </w:rPr>
            </w:pPr>
            <w:r>
              <w:rPr>
                <w:rFonts w:eastAsia="Times New Roman" w:cs="Times New Roman"/>
                <w:szCs w:val="20"/>
              </w:rPr>
              <w:t xml:space="preserve">MPA was recently completed, we have new expectations, and we have a lot of new info and science available to us now, including monitoring and trends; modeling and tools; and new research. </w:t>
            </w:r>
          </w:p>
          <w:p w14:paraId="02DCFDF4" w14:textId="5B8EB830" w:rsidR="00C627DD" w:rsidRDefault="00C627DD" w:rsidP="00527284">
            <w:pPr>
              <w:pStyle w:val="ListParagraph"/>
              <w:numPr>
                <w:ilvl w:val="1"/>
                <w:numId w:val="20"/>
              </w:numPr>
              <w:rPr>
                <w:rFonts w:eastAsia="Times New Roman" w:cs="Times New Roman"/>
                <w:szCs w:val="20"/>
              </w:rPr>
            </w:pPr>
            <w:r>
              <w:rPr>
                <w:rFonts w:eastAsia="Times New Roman" w:cs="Times New Roman"/>
                <w:szCs w:val="20"/>
              </w:rPr>
              <w:t>Challenge: how do we pull together and integrate this new data and information for our partners in a way that they can use it?</w:t>
            </w:r>
          </w:p>
          <w:p w14:paraId="0D3CFFAE" w14:textId="6E8F40B4"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Local area goals</w:t>
            </w:r>
          </w:p>
          <w:p w14:paraId="08B22A76" w14:textId="693BEE1E" w:rsidR="00C627DD" w:rsidRDefault="00C627DD" w:rsidP="00C627DD">
            <w:pPr>
              <w:pStyle w:val="ListParagraph"/>
              <w:numPr>
                <w:ilvl w:val="1"/>
                <w:numId w:val="20"/>
              </w:numPr>
              <w:rPr>
                <w:rFonts w:eastAsia="Times New Roman" w:cs="Times New Roman"/>
                <w:szCs w:val="20"/>
              </w:rPr>
            </w:pPr>
            <w:r>
              <w:rPr>
                <w:rFonts w:eastAsia="Times New Roman" w:cs="Times New Roman"/>
                <w:szCs w:val="20"/>
              </w:rPr>
              <w:t>Telling local stories to demonstrate utility of data: created individual local stories and took them out to partners, who wanted to be able to access that info and be able to use it themselves rather than waiting for CBP to create something with it. For example, PA is creating county-level toolboxes that each county can use to build their WIPs.</w:t>
            </w:r>
          </w:p>
          <w:p w14:paraId="3B2ADCD3" w14:textId="1920FC67" w:rsidR="00C627DD" w:rsidRDefault="00C627DD" w:rsidP="00C627DD">
            <w:pPr>
              <w:pStyle w:val="ListParagraph"/>
              <w:numPr>
                <w:ilvl w:val="1"/>
                <w:numId w:val="20"/>
              </w:numPr>
              <w:rPr>
                <w:rFonts w:eastAsia="Times New Roman" w:cs="Times New Roman"/>
                <w:szCs w:val="20"/>
              </w:rPr>
            </w:pPr>
            <w:r>
              <w:rPr>
                <w:rFonts w:eastAsia="Times New Roman" w:cs="Times New Roman"/>
                <w:szCs w:val="20"/>
              </w:rPr>
              <w:t xml:space="preserve">Dashboard provides info on: </w:t>
            </w:r>
          </w:p>
          <w:p w14:paraId="217FCC91" w14:textId="4942CE81"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 xml:space="preserve">Water quality of streams: looks at water quality </w:t>
            </w:r>
            <w:r w:rsidR="000F4C37">
              <w:rPr>
                <w:rFonts w:eastAsia="Times New Roman" w:cs="Times New Roman"/>
                <w:szCs w:val="20"/>
              </w:rPr>
              <w:t>monitoring</w:t>
            </w:r>
            <w:r>
              <w:rPr>
                <w:rFonts w:eastAsia="Times New Roman" w:cs="Times New Roman"/>
                <w:szCs w:val="20"/>
              </w:rPr>
              <w:t xml:space="preserve"> stations from throughout the watershed, provides long-term trends, provides info for sub-watershed, can compare overall loads from different sub-watersheds</w:t>
            </w:r>
          </w:p>
          <w:p w14:paraId="6AA7D217" w14:textId="468C7B2F"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Tidal water qu</w:t>
            </w:r>
            <w:r w:rsidR="00A76731">
              <w:rPr>
                <w:rFonts w:eastAsia="Times New Roman" w:cs="Times New Roman"/>
                <w:szCs w:val="20"/>
              </w:rPr>
              <w:t xml:space="preserve">ality: looks at water quality </w:t>
            </w:r>
            <w:r w:rsidR="000F4C37">
              <w:rPr>
                <w:rFonts w:eastAsia="Times New Roman" w:cs="Times New Roman"/>
                <w:szCs w:val="20"/>
              </w:rPr>
              <w:t>standards</w:t>
            </w:r>
            <w:r w:rsidR="00A76731">
              <w:rPr>
                <w:rFonts w:eastAsia="Times New Roman" w:cs="Times New Roman"/>
                <w:szCs w:val="20"/>
              </w:rPr>
              <w:t xml:space="preserve"> attainment, segment by segment; trends over time; water quality monitoring; wastewater treatment plant discharges; most effective watersheds influencing Bay water quality; SAV trends</w:t>
            </w:r>
          </w:p>
          <w:p w14:paraId="7BFCB640" w14:textId="25E578FB"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Targeting restoration efforts</w:t>
            </w:r>
            <w:r w:rsidR="00A76731">
              <w:rPr>
                <w:rFonts w:eastAsia="Times New Roman" w:cs="Times New Roman"/>
                <w:szCs w:val="20"/>
              </w:rPr>
              <w:t>: allows users to visualize outputs of watershed model to understand sources and loads; nutrient application management; wastewater treatment plants</w:t>
            </w:r>
          </w:p>
          <w:p w14:paraId="4DCCD3A0" w14:textId="0561BA3E"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Management practice implementation</w:t>
            </w:r>
            <w:r w:rsidR="00A76731">
              <w:rPr>
                <w:rFonts w:eastAsia="Times New Roman" w:cs="Times New Roman"/>
                <w:szCs w:val="20"/>
              </w:rPr>
              <w:t>: allows users to visualize BMP implementation across watershed, including effectiveness and cost-effectiveness; forest buffer opportunities</w:t>
            </w:r>
          </w:p>
          <w:p w14:paraId="3BFCA6EE" w14:textId="74BA257A" w:rsidR="00C627DD" w:rsidRDefault="00C627DD" w:rsidP="00C627DD">
            <w:pPr>
              <w:pStyle w:val="ListParagraph"/>
              <w:numPr>
                <w:ilvl w:val="2"/>
                <w:numId w:val="20"/>
              </w:numPr>
              <w:rPr>
                <w:rFonts w:eastAsia="Times New Roman" w:cs="Times New Roman"/>
                <w:szCs w:val="20"/>
              </w:rPr>
            </w:pPr>
            <w:r>
              <w:rPr>
                <w:rFonts w:eastAsia="Times New Roman" w:cs="Times New Roman"/>
                <w:szCs w:val="20"/>
              </w:rPr>
              <w:t>Planning for change</w:t>
            </w:r>
            <w:r w:rsidR="00A76731">
              <w:rPr>
                <w:rFonts w:eastAsia="Times New Roman" w:cs="Times New Roman"/>
                <w:szCs w:val="20"/>
              </w:rPr>
              <w:t>: planning for urban growth and development; shows different forest, wetlands or agricultural conservation options</w:t>
            </w:r>
          </w:p>
          <w:p w14:paraId="243CBC72" w14:textId="55BD9C8E" w:rsidR="00A76731" w:rsidRDefault="00A76731" w:rsidP="00A76731">
            <w:pPr>
              <w:pStyle w:val="ListParagraph"/>
              <w:numPr>
                <w:ilvl w:val="1"/>
                <w:numId w:val="20"/>
              </w:numPr>
              <w:rPr>
                <w:rFonts w:eastAsia="Times New Roman" w:cs="Times New Roman"/>
                <w:szCs w:val="20"/>
              </w:rPr>
            </w:pPr>
            <w:r>
              <w:rPr>
                <w:rFonts w:eastAsia="Times New Roman" w:cs="Times New Roman"/>
                <w:szCs w:val="20"/>
              </w:rPr>
              <w:lastRenderedPageBreak/>
              <w:t>Emily can send out presentation and poster about dashboard</w:t>
            </w:r>
          </w:p>
          <w:p w14:paraId="662BDA76" w14:textId="2049FB91" w:rsidR="00A76731" w:rsidRDefault="00A76731" w:rsidP="00A76731">
            <w:pPr>
              <w:pStyle w:val="ListParagraph"/>
              <w:numPr>
                <w:ilvl w:val="1"/>
                <w:numId w:val="20"/>
              </w:numPr>
              <w:rPr>
                <w:rFonts w:eastAsia="Times New Roman" w:cs="Times New Roman"/>
                <w:szCs w:val="20"/>
              </w:rPr>
            </w:pPr>
            <w:r>
              <w:rPr>
                <w:rFonts w:eastAsia="Times New Roman" w:cs="Times New Roman"/>
                <w:szCs w:val="20"/>
              </w:rPr>
              <w:t>Q: When will this be launched? A: It’s currently just going through a couple of workgroups for review. Beta version will be released after that, likely in early March. It will continue to be improved and updated after that.</w:t>
            </w:r>
          </w:p>
          <w:p w14:paraId="51449FC6" w14:textId="73F9476F" w:rsidR="00A76731" w:rsidRPr="00527284" w:rsidRDefault="00A76731" w:rsidP="00A76731">
            <w:pPr>
              <w:pStyle w:val="ListParagraph"/>
              <w:numPr>
                <w:ilvl w:val="1"/>
                <w:numId w:val="20"/>
              </w:numPr>
              <w:rPr>
                <w:rFonts w:eastAsia="Times New Roman" w:cs="Times New Roman"/>
                <w:szCs w:val="20"/>
              </w:rPr>
            </w:pPr>
            <w:r>
              <w:rPr>
                <w:rFonts w:eastAsia="Times New Roman" w:cs="Times New Roman"/>
                <w:szCs w:val="20"/>
              </w:rPr>
              <w:t xml:space="preserve">Q: Are you able to look at practices across multiple priorities – for example, agriculture and riparian? A: </w:t>
            </w:r>
            <w:r w:rsidR="00DA23FE">
              <w:rPr>
                <w:rFonts w:eastAsia="Times New Roman" w:cs="Times New Roman"/>
                <w:szCs w:val="20"/>
              </w:rPr>
              <w:t>Yes, you’re able to look at various sectors together and compare them together, for overall effectiveness and cost effectiveness. You can also combine counties to look at the average</w:t>
            </w:r>
          </w:p>
          <w:p w14:paraId="0F07FDD2" w14:textId="2CC46693" w:rsidR="00527284" w:rsidRPr="00527284" w:rsidRDefault="00527284" w:rsidP="00527284">
            <w:pPr>
              <w:ind w:left="360"/>
              <w:rPr>
                <w:rFonts w:eastAsia="Times New Roman" w:cs="Times New Roman"/>
                <w:b/>
                <w:szCs w:val="20"/>
              </w:rPr>
            </w:pPr>
          </w:p>
        </w:tc>
      </w:tr>
      <w:tr w:rsidR="00527284" w:rsidRPr="00660129" w14:paraId="7B1A1AD9" w14:textId="77777777" w:rsidTr="00AA77E0">
        <w:trPr>
          <w:trHeight w:val="1062"/>
        </w:trPr>
        <w:tc>
          <w:tcPr>
            <w:tcW w:w="8095" w:type="dxa"/>
          </w:tcPr>
          <w:p w14:paraId="7BCCCE7A" w14:textId="452D9BAF" w:rsidR="00527284" w:rsidRPr="004B202B" w:rsidRDefault="00527284" w:rsidP="00527284">
            <w:pPr>
              <w:shd w:val="clear" w:color="auto" w:fill="FFFFFF"/>
              <w:spacing w:before="100" w:beforeAutospacing="1" w:after="100" w:afterAutospacing="1"/>
            </w:pPr>
          </w:p>
        </w:tc>
      </w:tr>
      <w:tr w:rsidR="00527284" w:rsidRPr="00660129" w14:paraId="3798A2DE" w14:textId="77777777" w:rsidTr="00225B81">
        <w:tc>
          <w:tcPr>
            <w:tcW w:w="8095" w:type="dxa"/>
          </w:tcPr>
          <w:p w14:paraId="01D731A8" w14:textId="4FD1FBA5" w:rsidR="00527284" w:rsidRPr="00AA77E0" w:rsidRDefault="00527284" w:rsidP="00744097">
            <w:pPr>
              <w:rPr>
                <w:rFonts w:cs="Times New Roman"/>
                <w:b/>
                <w:szCs w:val="20"/>
              </w:rPr>
            </w:pPr>
          </w:p>
        </w:tc>
      </w:tr>
    </w:tbl>
    <w:p w14:paraId="21D72B49" w14:textId="7F31FF50" w:rsidR="007360CF" w:rsidRPr="006B71A7" w:rsidRDefault="007360CF" w:rsidP="006B71A7">
      <w:pPr>
        <w:spacing w:after="0" w:line="240" w:lineRule="auto"/>
        <w:rPr>
          <w:sz w:val="20"/>
          <w:szCs w:val="20"/>
        </w:rPr>
      </w:pPr>
    </w:p>
    <w:sectPr w:rsidR="007360CF" w:rsidRPr="006B71A7" w:rsidSect="00E915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B5A2" w14:textId="77777777" w:rsidR="00BC38D5" w:rsidRDefault="00BC38D5" w:rsidP="00225B81">
      <w:pPr>
        <w:spacing w:after="0" w:line="240" w:lineRule="auto"/>
      </w:pPr>
      <w:r>
        <w:separator/>
      </w:r>
    </w:p>
  </w:endnote>
  <w:endnote w:type="continuationSeparator" w:id="0">
    <w:p w14:paraId="51AC192B" w14:textId="77777777" w:rsidR="00BC38D5" w:rsidRDefault="00BC38D5" w:rsidP="002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EA2E" w14:textId="77777777" w:rsidR="00BC38D5" w:rsidRDefault="00BC38D5" w:rsidP="00225B81">
      <w:pPr>
        <w:spacing w:after="0" w:line="240" w:lineRule="auto"/>
      </w:pPr>
      <w:r>
        <w:separator/>
      </w:r>
    </w:p>
  </w:footnote>
  <w:footnote w:type="continuationSeparator" w:id="0">
    <w:p w14:paraId="29879096" w14:textId="77777777" w:rsidR="00BC38D5" w:rsidRDefault="00BC38D5" w:rsidP="0022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57"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74"/>
      <w:gridCol w:w="5467"/>
    </w:tblGrid>
    <w:tr w:rsidR="00225B81" w:rsidRPr="006D5DD9" w14:paraId="6D0CB5F3" w14:textId="77777777" w:rsidTr="009267C7">
      <w:tc>
        <w:tcPr>
          <w:tcW w:w="3116" w:type="dxa"/>
        </w:tcPr>
        <w:p w14:paraId="62C1EEFA" w14:textId="77777777" w:rsidR="00225B81" w:rsidRPr="006D5DD9" w:rsidRDefault="00225B81" w:rsidP="00225B81">
          <w:pPr>
            <w:pStyle w:val="Header"/>
          </w:pPr>
          <w:r w:rsidRPr="006D5DD9">
            <w:rPr>
              <w:noProof/>
              <w:lang w:eastAsia="zh-TW"/>
            </w:rPr>
            <w:drawing>
              <wp:inline distT="0" distB="0" distL="0" distR="0" wp14:anchorId="5E051872" wp14:editId="0487B56B">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44F9DA35" w14:textId="77777777" w:rsidR="00225B81" w:rsidRPr="006D5DD9" w:rsidRDefault="00225B81" w:rsidP="00225B81">
          <w:pPr>
            <w:pStyle w:val="Header"/>
            <w:jc w:val="center"/>
            <w:rPr>
              <w:b/>
            </w:rPr>
          </w:pPr>
        </w:p>
        <w:p w14:paraId="5A2C4B43" w14:textId="196B43A0" w:rsidR="009074AB" w:rsidRDefault="009074AB" w:rsidP="00225B81">
          <w:pPr>
            <w:pStyle w:val="Header"/>
            <w:jc w:val="center"/>
            <w:rPr>
              <w:rFonts w:eastAsia="Times New Roman" w:cs="Times New Roman"/>
              <w:b/>
              <w:bCs/>
              <w:sz w:val="26"/>
              <w:szCs w:val="26"/>
            </w:rPr>
          </w:pPr>
          <w:r>
            <w:rPr>
              <w:rFonts w:eastAsia="Times New Roman" w:cs="Times New Roman"/>
              <w:b/>
              <w:bCs/>
              <w:sz w:val="26"/>
              <w:szCs w:val="26"/>
            </w:rPr>
            <w:t>WIP Engagement Action Team</w:t>
          </w:r>
        </w:p>
        <w:p w14:paraId="4034F54D" w14:textId="431A11DE" w:rsidR="00225B81" w:rsidRPr="006D5DD9" w:rsidRDefault="00225B81" w:rsidP="00225B81">
          <w:pPr>
            <w:pStyle w:val="Header"/>
            <w:jc w:val="center"/>
            <w:rPr>
              <w:rFonts w:cs="Times New Roman"/>
              <w:b/>
              <w:bCs/>
              <w:sz w:val="26"/>
              <w:szCs w:val="26"/>
            </w:rPr>
          </w:pPr>
          <w:r w:rsidRPr="45F91ED5">
            <w:rPr>
              <w:rFonts w:eastAsia="Times New Roman" w:cs="Times New Roman"/>
              <w:b/>
              <w:bCs/>
              <w:sz w:val="26"/>
              <w:szCs w:val="26"/>
            </w:rPr>
            <w:t xml:space="preserve">Communications Workgroup </w:t>
          </w:r>
        </w:p>
        <w:p w14:paraId="60B857FB" w14:textId="48063E79" w:rsidR="00225B81" w:rsidRPr="00991085" w:rsidRDefault="00527284" w:rsidP="00991085">
          <w:pPr>
            <w:pStyle w:val="Header"/>
            <w:jc w:val="center"/>
            <w:rPr>
              <w:rFonts w:eastAsia="Times New Roman" w:cs="Times New Roman"/>
            </w:rPr>
          </w:pPr>
          <w:r>
            <w:rPr>
              <w:rFonts w:eastAsia="Times New Roman" w:cs="Times New Roman"/>
            </w:rPr>
            <w:t>February 5</w:t>
          </w:r>
          <w:r w:rsidR="00225B81">
            <w:rPr>
              <w:rFonts w:eastAsia="Times New Roman" w:cs="Times New Roman"/>
            </w:rPr>
            <w:t>,</w:t>
          </w:r>
          <w:r w:rsidR="00225B81" w:rsidRPr="45F91ED5">
            <w:rPr>
              <w:rFonts w:eastAsia="Times New Roman" w:cs="Times New Roman"/>
            </w:rPr>
            <w:t xml:space="preserve"> 201</w:t>
          </w:r>
          <w:r w:rsidR="00E60CE4">
            <w:rPr>
              <w:rFonts w:eastAsia="Times New Roman" w:cs="Times New Roman"/>
            </w:rPr>
            <w:t>9</w:t>
          </w:r>
          <w:r w:rsidR="004F7779">
            <w:rPr>
              <w:rFonts w:eastAsia="Times New Roman" w:cs="Times New Roman"/>
            </w:rPr>
            <w:t xml:space="preserve"> | </w:t>
          </w:r>
          <w:r w:rsidR="00BF508C">
            <w:rPr>
              <w:rFonts w:eastAsia="Times New Roman" w:cs="Times New Roman"/>
            </w:rPr>
            <w:t>2</w:t>
          </w:r>
          <w:r w:rsidR="004F7779">
            <w:rPr>
              <w:rFonts w:eastAsia="Times New Roman" w:cs="Times New Roman"/>
            </w:rPr>
            <w:t xml:space="preserve">:00 to </w:t>
          </w:r>
          <w:r w:rsidR="00BF508C">
            <w:rPr>
              <w:rFonts w:eastAsia="Times New Roman" w:cs="Times New Roman"/>
            </w:rPr>
            <w:t>3</w:t>
          </w:r>
          <w:r w:rsidR="00E87453">
            <w:rPr>
              <w:rFonts w:eastAsia="Times New Roman" w:cs="Times New Roman"/>
            </w:rPr>
            <w:t>:00</w:t>
          </w:r>
          <w:r w:rsidR="00225B81">
            <w:rPr>
              <w:rFonts w:eastAsia="Times New Roman" w:cs="Times New Roman"/>
            </w:rPr>
            <w:t xml:space="preserve"> p.m.</w:t>
          </w:r>
        </w:p>
      </w:tc>
      <w:tc>
        <w:tcPr>
          <w:tcW w:w="5467" w:type="dxa"/>
        </w:tcPr>
        <w:p w14:paraId="1B1418EB" w14:textId="77777777" w:rsidR="00225B81" w:rsidRPr="006D5DD9" w:rsidRDefault="00225B81" w:rsidP="00225B81">
          <w:pPr>
            <w:pStyle w:val="Header"/>
          </w:pPr>
        </w:p>
      </w:tc>
    </w:tr>
  </w:tbl>
  <w:p w14:paraId="1BAD2F87" w14:textId="77777777" w:rsidR="00225B81" w:rsidRPr="006D5DD9" w:rsidRDefault="00225B81" w:rsidP="00225B81">
    <w:pPr>
      <w:pStyle w:val="Header"/>
    </w:pPr>
  </w:p>
  <w:p w14:paraId="61B4540D" w14:textId="77777777" w:rsidR="00225B81" w:rsidRDefault="0022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136"/>
    <w:multiLevelType w:val="hybridMultilevel"/>
    <w:tmpl w:val="D35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4FD9"/>
    <w:multiLevelType w:val="multilevel"/>
    <w:tmpl w:val="BB460820"/>
    <w:lvl w:ilvl="0">
      <w:start w:val="1"/>
      <w:numFmt w:val="upperRoman"/>
      <w:lvlText w:val="%1."/>
      <w:lvlJc w:val="left"/>
      <w:pPr>
        <w:ind w:left="1080" w:hanging="720"/>
      </w:pPr>
      <w:rPr>
        <w:rFonts w:eastAsia="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57049C"/>
    <w:multiLevelType w:val="hybridMultilevel"/>
    <w:tmpl w:val="FF06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13BA6"/>
    <w:multiLevelType w:val="hybridMultilevel"/>
    <w:tmpl w:val="38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1F96"/>
    <w:multiLevelType w:val="hybridMultilevel"/>
    <w:tmpl w:val="F42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06B00"/>
    <w:multiLevelType w:val="multilevel"/>
    <w:tmpl w:val="63EE0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C26FF"/>
    <w:multiLevelType w:val="hybridMultilevel"/>
    <w:tmpl w:val="9F2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50D8C"/>
    <w:multiLevelType w:val="hybridMultilevel"/>
    <w:tmpl w:val="7304C2E0"/>
    <w:lvl w:ilvl="0" w:tplc="EC6453F2">
      <w:start w:val="1"/>
      <w:numFmt w:val="upperRoman"/>
      <w:lvlText w:val="%1."/>
      <w:lvlJc w:val="left"/>
      <w:pPr>
        <w:ind w:left="1080" w:hanging="720"/>
      </w:pPr>
      <w:rPr>
        <w:rFonts w:eastAsia="Times New Roman" w:hint="default"/>
      </w:rPr>
    </w:lvl>
    <w:lvl w:ilvl="1" w:tplc="9C923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223EC"/>
    <w:multiLevelType w:val="hybridMultilevel"/>
    <w:tmpl w:val="BF8AC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113C66"/>
    <w:multiLevelType w:val="hybridMultilevel"/>
    <w:tmpl w:val="AD6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5726E"/>
    <w:multiLevelType w:val="multilevel"/>
    <w:tmpl w:val="BB460820"/>
    <w:lvl w:ilvl="0">
      <w:start w:val="1"/>
      <w:numFmt w:val="upperRoman"/>
      <w:lvlText w:val="%1."/>
      <w:lvlJc w:val="left"/>
      <w:pPr>
        <w:ind w:left="1080" w:hanging="720"/>
      </w:pPr>
      <w:rPr>
        <w:rFonts w:eastAsia="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7C613B"/>
    <w:multiLevelType w:val="hybridMultilevel"/>
    <w:tmpl w:val="DB0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8017C"/>
    <w:multiLevelType w:val="hybridMultilevel"/>
    <w:tmpl w:val="5FC68D04"/>
    <w:lvl w:ilvl="0" w:tplc="71F6781E">
      <w:start w:val="1"/>
      <w:numFmt w:val="bullet"/>
      <w:lvlText w:val=""/>
      <w:lvlJc w:val="left"/>
      <w:pPr>
        <w:ind w:left="720" w:hanging="360"/>
      </w:pPr>
      <w:rPr>
        <w:rFonts w:ascii="Symbol" w:hAnsi="Symbol" w:hint="default"/>
      </w:rPr>
    </w:lvl>
    <w:lvl w:ilvl="1" w:tplc="95DA47EA">
      <w:start w:val="1"/>
      <w:numFmt w:val="bullet"/>
      <w:lvlText w:val="o"/>
      <w:lvlJc w:val="left"/>
      <w:pPr>
        <w:ind w:left="1440" w:hanging="360"/>
      </w:pPr>
      <w:rPr>
        <w:rFonts w:ascii="Courier New" w:hAnsi="Courier New" w:hint="default"/>
      </w:rPr>
    </w:lvl>
    <w:lvl w:ilvl="2" w:tplc="69986952">
      <w:start w:val="1"/>
      <w:numFmt w:val="bullet"/>
      <w:lvlText w:val=""/>
      <w:lvlJc w:val="left"/>
      <w:pPr>
        <w:ind w:left="2160" w:hanging="360"/>
      </w:pPr>
      <w:rPr>
        <w:rFonts w:ascii="Wingdings" w:hAnsi="Wingdings" w:hint="default"/>
      </w:rPr>
    </w:lvl>
    <w:lvl w:ilvl="3" w:tplc="F6FA6E54">
      <w:start w:val="1"/>
      <w:numFmt w:val="bullet"/>
      <w:lvlText w:val=""/>
      <w:lvlJc w:val="left"/>
      <w:pPr>
        <w:ind w:left="2880" w:hanging="360"/>
      </w:pPr>
      <w:rPr>
        <w:rFonts w:ascii="Symbol" w:hAnsi="Symbol" w:hint="default"/>
      </w:rPr>
    </w:lvl>
    <w:lvl w:ilvl="4" w:tplc="035A00DC">
      <w:start w:val="1"/>
      <w:numFmt w:val="bullet"/>
      <w:lvlText w:val="o"/>
      <w:lvlJc w:val="left"/>
      <w:pPr>
        <w:ind w:left="3600" w:hanging="360"/>
      </w:pPr>
      <w:rPr>
        <w:rFonts w:ascii="Courier New" w:hAnsi="Courier New" w:hint="default"/>
      </w:rPr>
    </w:lvl>
    <w:lvl w:ilvl="5" w:tplc="69A0A83C">
      <w:start w:val="1"/>
      <w:numFmt w:val="bullet"/>
      <w:lvlText w:val=""/>
      <w:lvlJc w:val="left"/>
      <w:pPr>
        <w:ind w:left="4320" w:hanging="360"/>
      </w:pPr>
      <w:rPr>
        <w:rFonts w:ascii="Wingdings" w:hAnsi="Wingdings" w:hint="default"/>
      </w:rPr>
    </w:lvl>
    <w:lvl w:ilvl="6" w:tplc="86167E44">
      <w:start w:val="1"/>
      <w:numFmt w:val="bullet"/>
      <w:lvlText w:val=""/>
      <w:lvlJc w:val="left"/>
      <w:pPr>
        <w:ind w:left="5040" w:hanging="360"/>
      </w:pPr>
      <w:rPr>
        <w:rFonts w:ascii="Symbol" w:hAnsi="Symbol" w:hint="default"/>
      </w:rPr>
    </w:lvl>
    <w:lvl w:ilvl="7" w:tplc="6F323BD4">
      <w:start w:val="1"/>
      <w:numFmt w:val="bullet"/>
      <w:lvlText w:val="o"/>
      <w:lvlJc w:val="left"/>
      <w:pPr>
        <w:ind w:left="5760" w:hanging="360"/>
      </w:pPr>
      <w:rPr>
        <w:rFonts w:ascii="Courier New" w:hAnsi="Courier New" w:hint="default"/>
      </w:rPr>
    </w:lvl>
    <w:lvl w:ilvl="8" w:tplc="B0DC763E">
      <w:start w:val="1"/>
      <w:numFmt w:val="bullet"/>
      <w:lvlText w:val=""/>
      <w:lvlJc w:val="left"/>
      <w:pPr>
        <w:ind w:left="6480" w:hanging="360"/>
      </w:pPr>
      <w:rPr>
        <w:rFonts w:ascii="Wingdings" w:hAnsi="Wingdings" w:hint="default"/>
      </w:rPr>
    </w:lvl>
  </w:abstractNum>
  <w:abstractNum w:abstractNumId="13" w15:restartNumberingAfterBreak="0">
    <w:nsid w:val="656D4ADD"/>
    <w:multiLevelType w:val="hybridMultilevel"/>
    <w:tmpl w:val="A426DF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0F525E"/>
    <w:multiLevelType w:val="hybridMultilevel"/>
    <w:tmpl w:val="63647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BA49C0"/>
    <w:multiLevelType w:val="hybridMultilevel"/>
    <w:tmpl w:val="16C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D3225"/>
    <w:multiLevelType w:val="hybridMultilevel"/>
    <w:tmpl w:val="5A4808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32D38"/>
    <w:multiLevelType w:val="hybridMultilevel"/>
    <w:tmpl w:val="CDC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37476"/>
    <w:multiLevelType w:val="hybridMultilevel"/>
    <w:tmpl w:val="66CC375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9"/>
  </w:num>
  <w:num w:numId="4">
    <w:abstractNumId w:val="17"/>
  </w:num>
  <w:num w:numId="5">
    <w:abstractNumId w:val="16"/>
  </w:num>
  <w:num w:numId="6">
    <w:abstractNumId w:val="4"/>
  </w:num>
  <w:num w:numId="7">
    <w:abstractNumId w:val="3"/>
  </w:num>
  <w:num w:numId="8">
    <w:abstractNumId w:val="15"/>
  </w:num>
  <w:num w:numId="9">
    <w:abstractNumId w:val="6"/>
  </w:num>
  <w:num w:numId="10">
    <w:abstractNumId w:val="0"/>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18"/>
  </w:num>
  <w:num w:numId="14">
    <w:abstractNumId w:val="13"/>
  </w:num>
  <w:num w:numId="15">
    <w:abstractNumId w:val="8"/>
  </w:num>
  <w:num w:numId="16">
    <w:abstractNumId w:val="11"/>
  </w:num>
  <w:num w:numId="17">
    <w:abstractNumId w:val="7"/>
  </w:num>
  <w:num w:numId="18">
    <w:abstractNumId w:val="1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87890"/>
    <w:rsid w:val="00040FB9"/>
    <w:rsid w:val="00094DB5"/>
    <w:rsid w:val="0009726F"/>
    <w:rsid w:val="000B4EEB"/>
    <w:rsid w:val="000C5601"/>
    <w:rsid w:val="000F4C37"/>
    <w:rsid w:val="001102C3"/>
    <w:rsid w:val="00120339"/>
    <w:rsid w:val="001451BE"/>
    <w:rsid w:val="001527E6"/>
    <w:rsid w:val="001A0FD3"/>
    <w:rsid w:val="001A1270"/>
    <w:rsid w:val="001A7768"/>
    <w:rsid w:val="001B4F17"/>
    <w:rsid w:val="001F6D7B"/>
    <w:rsid w:val="00225B81"/>
    <w:rsid w:val="002469A1"/>
    <w:rsid w:val="00274CCE"/>
    <w:rsid w:val="00281860"/>
    <w:rsid w:val="002B5E06"/>
    <w:rsid w:val="002B6C87"/>
    <w:rsid w:val="002D1CF0"/>
    <w:rsid w:val="002E66A7"/>
    <w:rsid w:val="002E77AC"/>
    <w:rsid w:val="003078BE"/>
    <w:rsid w:val="00344EEF"/>
    <w:rsid w:val="003672CC"/>
    <w:rsid w:val="00385985"/>
    <w:rsid w:val="003F1A1E"/>
    <w:rsid w:val="00415553"/>
    <w:rsid w:val="0041671A"/>
    <w:rsid w:val="00434717"/>
    <w:rsid w:val="00450DB3"/>
    <w:rsid w:val="00451622"/>
    <w:rsid w:val="004534DD"/>
    <w:rsid w:val="0045575F"/>
    <w:rsid w:val="00456A84"/>
    <w:rsid w:val="004660F3"/>
    <w:rsid w:val="004679B4"/>
    <w:rsid w:val="00471DB0"/>
    <w:rsid w:val="00485D4B"/>
    <w:rsid w:val="004865C6"/>
    <w:rsid w:val="00487CC3"/>
    <w:rsid w:val="00493A9A"/>
    <w:rsid w:val="0049782E"/>
    <w:rsid w:val="004A0669"/>
    <w:rsid w:val="004A0C87"/>
    <w:rsid w:val="004B202B"/>
    <w:rsid w:val="004E4AF0"/>
    <w:rsid w:val="004F7779"/>
    <w:rsid w:val="0052563E"/>
    <w:rsid w:val="00527284"/>
    <w:rsid w:val="00541069"/>
    <w:rsid w:val="0055282D"/>
    <w:rsid w:val="00565E1F"/>
    <w:rsid w:val="00575386"/>
    <w:rsid w:val="00590248"/>
    <w:rsid w:val="00611E55"/>
    <w:rsid w:val="00612F52"/>
    <w:rsid w:val="00636DF3"/>
    <w:rsid w:val="00640BCC"/>
    <w:rsid w:val="00642C76"/>
    <w:rsid w:val="00660129"/>
    <w:rsid w:val="006A5AC0"/>
    <w:rsid w:val="006B71A7"/>
    <w:rsid w:val="006C77A5"/>
    <w:rsid w:val="006E4962"/>
    <w:rsid w:val="006E4FBE"/>
    <w:rsid w:val="007225C5"/>
    <w:rsid w:val="00724552"/>
    <w:rsid w:val="007360CF"/>
    <w:rsid w:val="00744097"/>
    <w:rsid w:val="00765547"/>
    <w:rsid w:val="007671F5"/>
    <w:rsid w:val="00777470"/>
    <w:rsid w:val="00792AC4"/>
    <w:rsid w:val="007D263A"/>
    <w:rsid w:val="007E2DD6"/>
    <w:rsid w:val="007F114A"/>
    <w:rsid w:val="008061DF"/>
    <w:rsid w:val="0081174E"/>
    <w:rsid w:val="00836BDE"/>
    <w:rsid w:val="008458BE"/>
    <w:rsid w:val="0084710F"/>
    <w:rsid w:val="00860AF7"/>
    <w:rsid w:val="00865A75"/>
    <w:rsid w:val="0087737C"/>
    <w:rsid w:val="008B0F5E"/>
    <w:rsid w:val="008E5C64"/>
    <w:rsid w:val="008E6053"/>
    <w:rsid w:val="00900448"/>
    <w:rsid w:val="009074AB"/>
    <w:rsid w:val="009242C9"/>
    <w:rsid w:val="009267C7"/>
    <w:rsid w:val="00951266"/>
    <w:rsid w:val="00965D66"/>
    <w:rsid w:val="00991085"/>
    <w:rsid w:val="009E5729"/>
    <w:rsid w:val="00A222C1"/>
    <w:rsid w:val="00A2624E"/>
    <w:rsid w:val="00A26886"/>
    <w:rsid w:val="00A53E97"/>
    <w:rsid w:val="00A76731"/>
    <w:rsid w:val="00A948C9"/>
    <w:rsid w:val="00AA77E0"/>
    <w:rsid w:val="00AB2CD9"/>
    <w:rsid w:val="00AC0F41"/>
    <w:rsid w:val="00AC64C9"/>
    <w:rsid w:val="00AF1697"/>
    <w:rsid w:val="00AF5C84"/>
    <w:rsid w:val="00B173CE"/>
    <w:rsid w:val="00B224C9"/>
    <w:rsid w:val="00B5667C"/>
    <w:rsid w:val="00B64B19"/>
    <w:rsid w:val="00B876BA"/>
    <w:rsid w:val="00BA1C97"/>
    <w:rsid w:val="00BB44AB"/>
    <w:rsid w:val="00BC38D5"/>
    <w:rsid w:val="00BD0522"/>
    <w:rsid w:val="00BE199A"/>
    <w:rsid w:val="00BF508C"/>
    <w:rsid w:val="00C00763"/>
    <w:rsid w:val="00C1557B"/>
    <w:rsid w:val="00C165CA"/>
    <w:rsid w:val="00C354B8"/>
    <w:rsid w:val="00C42B4F"/>
    <w:rsid w:val="00C47112"/>
    <w:rsid w:val="00C53EB7"/>
    <w:rsid w:val="00C57885"/>
    <w:rsid w:val="00C61E24"/>
    <w:rsid w:val="00C627DD"/>
    <w:rsid w:val="00C77D2D"/>
    <w:rsid w:val="00CA1698"/>
    <w:rsid w:val="00CB6E91"/>
    <w:rsid w:val="00CD7758"/>
    <w:rsid w:val="00D026DD"/>
    <w:rsid w:val="00D2199E"/>
    <w:rsid w:val="00D27894"/>
    <w:rsid w:val="00D566E0"/>
    <w:rsid w:val="00D64239"/>
    <w:rsid w:val="00D67BCA"/>
    <w:rsid w:val="00D748F3"/>
    <w:rsid w:val="00DA23FE"/>
    <w:rsid w:val="00DA3DB0"/>
    <w:rsid w:val="00DB5ED2"/>
    <w:rsid w:val="00DD791E"/>
    <w:rsid w:val="00E259EA"/>
    <w:rsid w:val="00E36AC3"/>
    <w:rsid w:val="00E50A8B"/>
    <w:rsid w:val="00E60CE4"/>
    <w:rsid w:val="00E753B6"/>
    <w:rsid w:val="00E87453"/>
    <w:rsid w:val="00E915E8"/>
    <w:rsid w:val="00EB006B"/>
    <w:rsid w:val="00EB7ADB"/>
    <w:rsid w:val="00EE2B71"/>
    <w:rsid w:val="00F0677A"/>
    <w:rsid w:val="00F07ABF"/>
    <w:rsid w:val="00F11E28"/>
    <w:rsid w:val="00F43343"/>
    <w:rsid w:val="00F54EFB"/>
    <w:rsid w:val="00F7226D"/>
    <w:rsid w:val="00FA2FF9"/>
    <w:rsid w:val="00FB093D"/>
    <w:rsid w:val="00FB12DA"/>
    <w:rsid w:val="5F6878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10D9C"/>
  <w15:chartTrackingRefBased/>
  <w15:docId w15:val="{E22EBF75-6D70-40C4-8BD8-B1C3AF3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character" w:styleId="Hyperlink">
    <w:name w:val="Hyperlink"/>
    <w:basedOn w:val="DefaultParagraphFont"/>
    <w:uiPriority w:val="99"/>
    <w:unhideWhenUsed/>
    <w:rsid w:val="00225B81"/>
    <w:rPr>
      <w:color w:val="0563C1" w:themeColor="hyperlink"/>
      <w:u w:val="single"/>
    </w:rPr>
  </w:style>
  <w:style w:type="paragraph" w:styleId="ListParagraph">
    <w:name w:val="List Paragraph"/>
    <w:basedOn w:val="Normal"/>
    <w:qFormat/>
    <w:rsid w:val="00225B81"/>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1527E6"/>
    <w:rPr>
      <w:color w:val="808080"/>
      <w:shd w:val="clear" w:color="auto" w:fill="E6E6E6"/>
    </w:rPr>
  </w:style>
  <w:style w:type="paragraph" w:styleId="BalloonText">
    <w:name w:val="Balloon Text"/>
    <w:basedOn w:val="Normal"/>
    <w:link w:val="BalloonTextChar"/>
    <w:uiPriority w:val="99"/>
    <w:semiHidden/>
    <w:unhideWhenUsed/>
    <w:rsid w:val="005256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6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2B71"/>
    <w:rPr>
      <w:sz w:val="16"/>
      <w:szCs w:val="16"/>
    </w:rPr>
  </w:style>
  <w:style w:type="paragraph" w:styleId="CommentText">
    <w:name w:val="annotation text"/>
    <w:basedOn w:val="Normal"/>
    <w:link w:val="CommentTextChar"/>
    <w:uiPriority w:val="99"/>
    <w:semiHidden/>
    <w:unhideWhenUsed/>
    <w:rsid w:val="00EE2B71"/>
    <w:pPr>
      <w:spacing w:line="240" w:lineRule="auto"/>
    </w:pPr>
    <w:rPr>
      <w:sz w:val="20"/>
      <w:szCs w:val="20"/>
    </w:rPr>
  </w:style>
  <w:style w:type="character" w:customStyle="1" w:styleId="CommentTextChar">
    <w:name w:val="Comment Text Char"/>
    <w:basedOn w:val="DefaultParagraphFont"/>
    <w:link w:val="CommentText"/>
    <w:uiPriority w:val="99"/>
    <w:semiHidden/>
    <w:rsid w:val="00EE2B71"/>
    <w:rPr>
      <w:sz w:val="20"/>
      <w:szCs w:val="20"/>
    </w:rPr>
  </w:style>
  <w:style w:type="paragraph" w:styleId="CommentSubject">
    <w:name w:val="annotation subject"/>
    <w:basedOn w:val="CommentText"/>
    <w:next w:val="CommentText"/>
    <w:link w:val="CommentSubjectChar"/>
    <w:uiPriority w:val="99"/>
    <w:semiHidden/>
    <w:unhideWhenUsed/>
    <w:rsid w:val="00EE2B71"/>
    <w:rPr>
      <w:b/>
      <w:bCs/>
    </w:rPr>
  </w:style>
  <w:style w:type="character" w:customStyle="1" w:styleId="CommentSubjectChar">
    <w:name w:val="Comment Subject Char"/>
    <w:basedOn w:val="CommentTextChar"/>
    <w:link w:val="CommentSubject"/>
    <w:uiPriority w:val="99"/>
    <w:semiHidden/>
    <w:rsid w:val="00EE2B71"/>
    <w:rPr>
      <w:b/>
      <w:bCs/>
      <w:sz w:val="20"/>
      <w:szCs w:val="20"/>
    </w:rPr>
  </w:style>
  <w:style w:type="character" w:styleId="UnresolvedMention">
    <w:name w:val="Unresolved Mention"/>
    <w:basedOn w:val="DefaultParagraphFont"/>
    <w:uiPriority w:val="99"/>
    <w:semiHidden/>
    <w:unhideWhenUsed/>
    <w:rsid w:val="00EE2B71"/>
    <w:rPr>
      <w:color w:val="808080"/>
      <w:shd w:val="clear" w:color="auto" w:fill="E6E6E6"/>
    </w:rPr>
  </w:style>
  <w:style w:type="paragraph" w:styleId="Revision">
    <w:name w:val="Revision"/>
    <w:hidden/>
    <w:uiPriority w:val="99"/>
    <w:semiHidden/>
    <w:rsid w:val="00EE2B71"/>
    <w:pPr>
      <w:spacing w:after="0" w:line="240" w:lineRule="auto"/>
    </w:pPr>
  </w:style>
  <w:style w:type="character" w:styleId="FollowedHyperlink">
    <w:name w:val="FollowedHyperlink"/>
    <w:basedOn w:val="DefaultParagraphFont"/>
    <w:uiPriority w:val="99"/>
    <w:semiHidden/>
    <w:unhideWhenUsed/>
    <w:rsid w:val="007E2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0344">
      <w:bodyDiv w:val="1"/>
      <w:marLeft w:val="0"/>
      <w:marRight w:val="0"/>
      <w:marTop w:val="0"/>
      <w:marBottom w:val="0"/>
      <w:divBdr>
        <w:top w:val="none" w:sz="0" w:space="0" w:color="auto"/>
        <w:left w:val="none" w:sz="0" w:space="0" w:color="auto"/>
        <w:bottom w:val="none" w:sz="0" w:space="0" w:color="auto"/>
        <w:right w:val="none" w:sz="0" w:space="0" w:color="auto"/>
      </w:divBdr>
    </w:div>
    <w:div w:id="1600022367">
      <w:bodyDiv w:val="1"/>
      <w:marLeft w:val="0"/>
      <w:marRight w:val="0"/>
      <w:marTop w:val="0"/>
      <w:marBottom w:val="0"/>
      <w:divBdr>
        <w:top w:val="none" w:sz="0" w:space="0" w:color="auto"/>
        <w:left w:val="none" w:sz="0" w:space="0" w:color="auto"/>
        <w:bottom w:val="none" w:sz="0" w:space="0" w:color="auto"/>
        <w:right w:val="none" w:sz="0" w:space="0" w:color="auto"/>
      </w:divBdr>
    </w:div>
    <w:div w:id="1937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BDFB68B96E940845692FF3E4E1896" ma:contentTypeVersion="8" ma:contentTypeDescription="Create a new document." ma:contentTypeScope="" ma:versionID="06f960cac52e3c50bb036dc0cd75a57d">
  <xsd:schema xmlns:xsd="http://www.w3.org/2001/XMLSchema" xmlns:xs="http://www.w3.org/2001/XMLSchema" xmlns:p="http://schemas.microsoft.com/office/2006/metadata/properties" xmlns:ns2="2eda9283-eed4-40db-912e-edcd2a62b4c1" xmlns:ns3="8ab7c373-1357-4f40-bc47-655eb48acb34" targetNamespace="http://schemas.microsoft.com/office/2006/metadata/properties" ma:root="true" ma:fieldsID="d2272f5d568fc26f1e59ffc849de82b6" ns2:_="" ns3:_="">
    <xsd:import namespace="2eda9283-eed4-40db-912e-edcd2a62b4c1"/>
    <xsd:import namespace="8ab7c373-1357-4f40-bc47-655eb48ac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9283-eed4-40db-912e-edcd2a62b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c373-1357-4f40-bc47-655eb48acb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b7c373-1357-4f40-bc47-655eb48acb34">
      <UserInfo>
        <DisplayName>Catherine Krikstan</DisplayName>
        <AccountId>177</AccountId>
        <AccountType/>
      </UserInfo>
    </SharedWithUsers>
  </documentManagement>
</p:properties>
</file>

<file path=customXml/itemProps1.xml><?xml version="1.0" encoding="utf-8"?>
<ds:datastoreItem xmlns:ds="http://schemas.openxmlformats.org/officeDocument/2006/customXml" ds:itemID="{3C2A600D-C124-45A0-864F-A47316FC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9283-eed4-40db-912e-edcd2a62b4c1"/>
    <ds:schemaRef ds:uri="8ab7c373-1357-4f40-bc47-655eb48a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CD345-352A-490F-88AE-D1C9004104D4}">
  <ds:schemaRefs>
    <ds:schemaRef ds:uri="http://schemas.microsoft.com/sharepoint/v3/contenttype/forms"/>
  </ds:schemaRefs>
</ds:datastoreItem>
</file>

<file path=customXml/itemProps3.xml><?xml version="1.0" encoding="utf-8"?>
<ds:datastoreItem xmlns:ds="http://schemas.openxmlformats.org/officeDocument/2006/customXml" ds:itemID="{2A3E718F-7011-4100-BF39-5608659F72B6}">
  <ds:schemaRefs>
    <ds:schemaRef ds:uri="8ab7c373-1357-4f40-bc47-655eb48acb34"/>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2eda9283-eed4-40db-912e-edcd2a62b4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Smedinghoff</dc:creator>
  <cp:keywords/>
  <dc:description/>
  <cp:lastModifiedBy>Rebecca Chillrud</cp:lastModifiedBy>
  <cp:revision>4</cp:revision>
  <cp:lastPrinted>2018-09-04T13:35:00Z</cp:lastPrinted>
  <dcterms:created xsi:type="dcterms:W3CDTF">2019-02-05T18:50:00Z</dcterms:created>
  <dcterms:modified xsi:type="dcterms:W3CDTF">2019-02-15T20:48:00Z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0x0101003F8BDFB68B96E940845692FF3E4E1896</vt:lpwstr>
  </property>
</Properties>
</file>