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B4FF2" w14:textId="77777777" w:rsidR="00A106DB" w:rsidRDefault="00A106DB">
      <w:pPr>
        <w:pStyle w:val="BodyText"/>
        <w:spacing w:before="9"/>
        <w:rPr>
          <w:sz w:val="19"/>
        </w:rPr>
      </w:pPr>
    </w:p>
    <w:p w14:paraId="2996EB5B" w14:textId="77777777" w:rsidR="00A106DB" w:rsidRDefault="00A106DB">
      <w:pPr>
        <w:rPr>
          <w:sz w:val="19"/>
        </w:rPr>
        <w:sectPr w:rsidR="00A106DB" w:rsidSect="00396C09">
          <w:headerReference w:type="first" r:id="rId7"/>
          <w:type w:val="continuous"/>
          <w:pgSz w:w="12240" w:h="15840"/>
          <w:pgMar w:top="1008" w:right="1325" w:bottom="1008" w:left="432" w:header="720" w:footer="720" w:gutter="0"/>
          <w:cols w:space="720"/>
          <w:titlePg/>
          <w:docGrid w:linePitch="299"/>
        </w:sectPr>
      </w:pPr>
    </w:p>
    <w:p w14:paraId="1DCFBFE0" w14:textId="77777777" w:rsidR="00A106DB" w:rsidRDefault="00017992" w:rsidP="00017992">
      <w:pPr>
        <w:pStyle w:val="Heading1"/>
        <w:numPr>
          <w:ilvl w:val="0"/>
          <w:numId w:val="0"/>
        </w:numPr>
        <w:spacing w:before="56"/>
        <w:ind w:left="1080"/>
      </w:pPr>
      <w:r>
        <w:t>Participants</w:t>
      </w:r>
    </w:p>
    <w:p w14:paraId="4600C898" w14:textId="77777777" w:rsidR="005A79C0" w:rsidRDefault="005A79C0" w:rsidP="005A79C0">
      <w:pPr>
        <w:pStyle w:val="BodyText"/>
        <w:spacing w:before="1"/>
        <w:ind w:left="1080" w:right="186"/>
        <w:sectPr w:rsidR="005A79C0" w:rsidSect="005A79C0">
          <w:type w:val="continuous"/>
          <w:pgSz w:w="12240" w:h="15840"/>
          <w:pgMar w:top="1008" w:right="1325" w:bottom="1008" w:left="432" w:header="720" w:footer="720" w:gutter="0"/>
          <w:cols w:num="2" w:space="720" w:equalWidth="0">
            <w:col w:w="4686" w:space="1261"/>
            <w:col w:w="4536"/>
          </w:cols>
        </w:sectPr>
      </w:pPr>
    </w:p>
    <w:p w14:paraId="271C4F5B" w14:textId="77777777" w:rsidR="0007743D" w:rsidRDefault="005A79C0" w:rsidP="005A79C0">
      <w:pPr>
        <w:pStyle w:val="BodyText"/>
        <w:spacing w:before="1"/>
        <w:ind w:left="1080" w:right="186"/>
      </w:pPr>
      <w:r>
        <w:t xml:space="preserve">Deb Klenotic, PA DEP (Chair) </w:t>
      </w:r>
    </w:p>
    <w:p w14:paraId="041D0B43" w14:textId="77777777" w:rsidR="0007743D" w:rsidRDefault="005A79C0" w:rsidP="005A79C0">
      <w:pPr>
        <w:pStyle w:val="BodyText"/>
        <w:spacing w:before="1"/>
        <w:ind w:left="1080" w:right="186"/>
      </w:pPr>
      <w:r>
        <w:t xml:space="preserve">Rachel Felver, ACB-CBP (Coordinator) </w:t>
      </w:r>
    </w:p>
    <w:p w14:paraId="6945BB77" w14:textId="77777777" w:rsidR="005A79C0" w:rsidRDefault="005A79C0" w:rsidP="005A79C0">
      <w:pPr>
        <w:pStyle w:val="BodyText"/>
        <w:spacing w:before="1"/>
        <w:ind w:left="1080" w:right="186"/>
      </w:pPr>
      <w:r>
        <w:t>Rebecca Chillrud, CRC-CBP (Staff)</w:t>
      </w:r>
    </w:p>
    <w:p w14:paraId="3335B1ED" w14:textId="77777777" w:rsidR="00614EEC" w:rsidRDefault="00614EEC" w:rsidP="005A79C0">
      <w:pPr>
        <w:pStyle w:val="BodyText"/>
        <w:spacing w:before="1"/>
        <w:ind w:left="1080" w:right="186"/>
      </w:pPr>
      <w:r>
        <w:t>Dorothy Baker, VA DEQ</w:t>
      </w:r>
    </w:p>
    <w:p w14:paraId="2DF7A7F1" w14:textId="77777777" w:rsidR="00614EEC" w:rsidRDefault="00614EEC" w:rsidP="005A79C0">
      <w:pPr>
        <w:pStyle w:val="BodyText"/>
        <w:spacing w:before="1"/>
        <w:ind w:left="1080" w:right="186"/>
      </w:pPr>
      <w:r>
        <w:t>Greg Barranco, EPA-CBPO</w:t>
      </w:r>
    </w:p>
    <w:p w14:paraId="10F29009" w14:textId="77777777" w:rsidR="00614EEC" w:rsidRDefault="00614EEC" w:rsidP="005A79C0">
      <w:pPr>
        <w:pStyle w:val="BodyText"/>
        <w:spacing w:before="1"/>
        <w:ind w:left="1080" w:right="186"/>
      </w:pPr>
      <w:r>
        <w:t>Adrianna Berk, TetraTech</w:t>
      </w:r>
    </w:p>
    <w:p w14:paraId="448C67AF" w14:textId="77777777" w:rsidR="00614EEC" w:rsidRDefault="00614EEC" w:rsidP="005A79C0">
      <w:pPr>
        <w:pStyle w:val="BodyText"/>
        <w:spacing w:before="1"/>
        <w:ind w:left="1080" w:right="186"/>
      </w:pPr>
      <w:r>
        <w:t>Medessa Burian, UMD EFC</w:t>
      </w:r>
    </w:p>
    <w:p w14:paraId="59728A2D" w14:textId="77777777" w:rsidR="00614EEC" w:rsidRDefault="00614EEC" w:rsidP="005A79C0">
      <w:pPr>
        <w:pStyle w:val="BodyText"/>
        <w:spacing w:before="1"/>
        <w:ind w:left="1080" w:right="186"/>
      </w:pPr>
      <w:r>
        <w:t>Irina Calos, VA DEQ</w:t>
      </w:r>
    </w:p>
    <w:p w14:paraId="1A2BC5E1" w14:textId="77777777" w:rsidR="005A79C0" w:rsidRDefault="005A79C0" w:rsidP="005A79C0">
      <w:pPr>
        <w:pStyle w:val="BodyText"/>
        <w:ind w:left="1080" w:right="552"/>
      </w:pPr>
      <w:r>
        <w:t>Tom Damm, EPA-R3</w:t>
      </w:r>
    </w:p>
    <w:p w14:paraId="1C5300F0" w14:textId="77777777" w:rsidR="00614EEC" w:rsidRDefault="00614EEC" w:rsidP="005A79C0">
      <w:pPr>
        <w:pStyle w:val="BodyText"/>
        <w:ind w:left="1080" w:right="552"/>
      </w:pPr>
      <w:r>
        <w:t>Heather Duncan, WV</w:t>
      </w:r>
      <w:r w:rsidR="002E60FE">
        <w:t>CA</w:t>
      </w:r>
    </w:p>
    <w:p w14:paraId="3757B381" w14:textId="77777777" w:rsidR="005A79C0" w:rsidRDefault="005A79C0" w:rsidP="005A79C0">
      <w:pPr>
        <w:pStyle w:val="BodyText"/>
        <w:spacing w:before="2"/>
        <w:ind w:left="1080"/>
      </w:pPr>
      <w:r w:rsidRPr="005A79C0">
        <w:t>Mary Gattis, ACB-LGAC</w:t>
      </w:r>
    </w:p>
    <w:p w14:paraId="3A8E3E2B" w14:textId="77777777" w:rsidR="00614EEC" w:rsidRDefault="00614EEC" w:rsidP="005A79C0">
      <w:pPr>
        <w:pStyle w:val="BodyText"/>
        <w:spacing w:before="2"/>
        <w:ind w:left="1080"/>
      </w:pPr>
      <w:r>
        <w:t xml:space="preserve">Jennifer Greiner, USFWS-CBP </w:t>
      </w:r>
    </w:p>
    <w:p w14:paraId="7DF3DD72" w14:textId="77777777" w:rsidR="00614EEC" w:rsidRDefault="00614EEC" w:rsidP="005A79C0">
      <w:pPr>
        <w:pStyle w:val="BodyText"/>
        <w:spacing w:before="2"/>
        <w:ind w:left="1080"/>
      </w:pPr>
      <w:r>
        <w:t>Rachel Hamm, VA DEQ</w:t>
      </w:r>
    </w:p>
    <w:p w14:paraId="0F8358DA" w14:textId="77777777" w:rsidR="00614EEC" w:rsidRPr="005A79C0" w:rsidRDefault="00614EEC" w:rsidP="005A79C0">
      <w:pPr>
        <w:pStyle w:val="BodyText"/>
        <w:spacing w:before="2"/>
        <w:ind w:left="1080"/>
      </w:pPr>
      <w:r>
        <w:t>Gina Hunt, MDNR-CBP</w:t>
      </w:r>
    </w:p>
    <w:p w14:paraId="3CF44F2E" w14:textId="77777777" w:rsidR="005A79C0" w:rsidRDefault="005A79C0" w:rsidP="005A79C0">
      <w:pPr>
        <w:pStyle w:val="BodyText"/>
        <w:spacing w:before="2"/>
        <w:ind w:left="1080"/>
      </w:pPr>
      <w:r w:rsidRPr="005A79C0">
        <w:t>Phil Miller, DNREC</w:t>
      </w:r>
    </w:p>
    <w:p w14:paraId="038E6318" w14:textId="77777777" w:rsidR="00614EEC" w:rsidRPr="005A79C0" w:rsidRDefault="00614EEC" w:rsidP="005A79C0">
      <w:pPr>
        <w:pStyle w:val="BodyText"/>
        <w:spacing w:before="2"/>
        <w:ind w:left="1080"/>
      </w:pPr>
      <w:r>
        <w:t>Matthew Pennington, WV</w:t>
      </w:r>
      <w:r w:rsidR="003E4BCD">
        <w:t>-Region 9</w:t>
      </w:r>
    </w:p>
    <w:p w14:paraId="087C38DC" w14:textId="77777777" w:rsidR="005A79C0" w:rsidRDefault="005A79C0" w:rsidP="005A79C0">
      <w:pPr>
        <w:pStyle w:val="BodyText"/>
        <w:spacing w:before="2"/>
        <w:ind w:left="1080"/>
      </w:pPr>
      <w:r w:rsidRPr="005A79C0">
        <w:t>Kristin Reilly, CCWC</w:t>
      </w:r>
    </w:p>
    <w:p w14:paraId="209DF8AF" w14:textId="77777777" w:rsidR="00614EEC" w:rsidRPr="005A79C0" w:rsidRDefault="00614EEC" w:rsidP="005A79C0">
      <w:pPr>
        <w:pStyle w:val="BodyText"/>
        <w:spacing w:before="2"/>
        <w:ind w:left="1080"/>
      </w:pPr>
      <w:r>
        <w:t>Cindy Shreve, WVDA</w:t>
      </w:r>
    </w:p>
    <w:p w14:paraId="675A2438" w14:textId="77777777" w:rsidR="0007743D" w:rsidRDefault="0007743D" w:rsidP="0007743D">
      <w:pPr>
        <w:pStyle w:val="BodyText"/>
        <w:spacing w:line="267" w:lineRule="exact"/>
        <w:ind w:left="1080"/>
      </w:pPr>
      <w:r>
        <w:t>Joan Smedinghoff, ACB-CBP</w:t>
      </w:r>
    </w:p>
    <w:p w14:paraId="082C5F99" w14:textId="77777777" w:rsidR="00614EEC" w:rsidRDefault="00614EEC" w:rsidP="0007743D">
      <w:pPr>
        <w:pStyle w:val="BodyText"/>
        <w:spacing w:line="267" w:lineRule="exact"/>
        <w:ind w:left="1080"/>
      </w:pPr>
      <w:r>
        <w:t>Kathy Stecker, MDE</w:t>
      </w:r>
    </w:p>
    <w:p w14:paraId="295C2F99" w14:textId="77777777" w:rsidR="00614EEC" w:rsidRDefault="00614EEC" w:rsidP="0007743D">
      <w:pPr>
        <w:pStyle w:val="BodyText"/>
        <w:spacing w:line="267" w:lineRule="exact"/>
        <w:ind w:left="1080"/>
      </w:pPr>
      <w:r>
        <w:t>Davin White, WVCA</w:t>
      </w:r>
    </w:p>
    <w:p w14:paraId="509AD134" w14:textId="77777777" w:rsidR="005A79C0" w:rsidRDefault="005A79C0" w:rsidP="00017992">
      <w:pPr>
        <w:pStyle w:val="Heading1"/>
        <w:numPr>
          <w:ilvl w:val="0"/>
          <w:numId w:val="0"/>
        </w:numPr>
        <w:spacing w:before="56"/>
        <w:ind w:left="1080"/>
        <w:sectPr w:rsidR="005A79C0" w:rsidSect="0007743D">
          <w:type w:val="continuous"/>
          <w:pgSz w:w="12240" w:h="15840"/>
          <w:pgMar w:top="1008" w:right="1325" w:bottom="1008" w:left="432" w:header="720" w:footer="720" w:gutter="0"/>
          <w:cols w:num="2" w:space="720"/>
        </w:sectPr>
      </w:pPr>
    </w:p>
    <w:p w14:paraId="5E58A2D0" w14:textId="77777777" w:rsidR="005A79C0" w:rsidRDefault="005A79C0" w:rsidP="00017992">
      <w:pPr>
        <w:pStyle w:val="Heading1"/>
        <w:numPr>
          <w:ilvl w:val="0"/>
          <w:numId w:val="0"/>
        </w:numPr>
        <w:spacing w:before="56"/>
        <w:ind w:left="1080"/>
      </w:pPr>
    </w:p>
    <w:p w14:paraId="096AE71F" w14:textId="77777777" w:rsidR="005A79C0" w:rsidRDefault="005A79C0">
      <w:pPr>
        <w:pStyle w:val="BodyText"/>
        <w:spacing w:before="2"/>
        <w:ind w:left="1080"/>
      </w:pPr>
    </w:p>
    <w:p w14:paraId="653156C4" w14:textId="77777777" w:rsidR="00A106DB" w:rsidRDefault="00017992">
      <w:pPr>
        <w:pStyle w:val="BodyText"/>
        <w:spacing w:before="8"/>
        <w:rPr>
          <w:sz w:val="26"/>
        </w:rPr>
      </w:pPr>
      <w:r>
        <w:br w:type="column"/>
      </w:r>
    </w:p>
    <w:p w14:paraId="30DA9A7C" w14:textId="77777777" w:rsidR="00A106DB" w:rsidRDefault="00A106DB">
      <w:pPr>
        <w:sectPr w:rsidR="00A106DB" w:rsidSect="005A79C0">
          <w:type w:val="continuous"/>
          <w:pgSz w:w="12240" w:h="15840"/>
          <w:pgMar w:top="1008" w:right="1325" w:bottom="1008" w:left="432" w:header="720" w:footer="720" w:gutter="0"/>
          <w:cols w:num="2" w:space="720" w:equalWidth="0">
            <w:col w:w="4686" w:space="1261"/>
            <w:col w:w="4536"/>
          </w:cols>
        </w:sectPr>
      </w:pPr>
    </w:p>
    <w:p w14:paraId="4D65557F" w14:textId="77777777" w:rsidR="00A106DB" w:rsidRDefault="00A106DB">
      <w:pPr>
        <w:pStyle w:val="BodyText"/>
        <w:spacing w:before="3"/>
        <w:rPr>
          <w:sz w:val="17"/>
        </w:rPr>
      </w:pPr>
    </w:p>
    <w:p w14:paraId="438DC9CB" w14:textId="77777777" w:rsidR="00A106DB" w:rsidRPr="002F244A" w:rsidRDefault="00017992" w:rsidP="002F244A">
      <w:pPr>
        <w:pStyle w:val="Heading1"/>
        <w:numPr>
          <w:ilvl w:val="0"/>
          <w:numId w:val="1"/>
        </w:numPr>
        <w:tabs>
          <w:tab w:val="left" w:pos="1800"/>
          <w:tab w:val="left" w:pos="1801"/>
        </w:tabs>
        <w:spacing w:before="56" w:after="240"/>
      </w:pPr>
      <w:r>
        <w:t>Welcome</w:t>
      </w:r>
    </w:p>
    <w:p w14:paraId="318356BA" w14:textId="77777777" w:rsidR="00A106DB" w:rsidRDefault="00C84FF2" w:rsidP="002F244A">
      <w:pPr>
        <w:pStyle w:val="Heading1"/>
        <w:numPr>
          <w:ilvl w:val="0"/>
          <w:numId w:val="1"/>
        </w:numPr>
        <w:spacing w:after="240"/>
      </w:pPr>
      <w:r>
        <w:t>Setting the stage: The need for WIP e</w:t>
      </w:r>
      <w:r w:rsidR="00614EEC">
        <w:t>ngagement</w:t>
      </w:r>
    </w:p>
    <w:p w14:paraId="16A2D937" w14:textId="77777777" w:rsidR="00614EEC" w:rsidRPr="00C84FF2" w:rsidRDefault="00614EEC" w:rsidP="00C84FF2">
      <w:pPr>
        <w:pStyle w:val="Heading1"/>
        <w:numPr>
          <w:ilvl w:val="1"/>
          <w:numId w:val="1"/>
        </w:numPr>
      </w:pPr>
      <w:r>
        <w:rPr>
          <w:b w:val="0"/>
        </w:rPr>
        <w:t xml:space="preserve">Watershed Implementation Plans (WIPs) are </w:t>
      </w:r>
      <w:r w:rsidR="00C84FF2">
        <w:rPr>
          <w:b w:val="0"/>
        </w:rPr>
        <w:t xml:space="preserve">blueprints that explain how each jurisdiction will meet its pollution reduction targets under the Bay Total Maximum Daily Load (TMDL). The WIPs are now in their third phase. </w:t>
      </w:r>
    </w:p>
    <w:p w14:paraId="0073DCF0" w14:textId="77777777" w:rsidR="00C84FF2" w:rsidRPr="00C84FF2" w:rsidRDefault="00C84FF2" w:rsidP="00C84FF2">
      <w:pPr>
        <w:pStyle w:val="Heading1"/>
        <w:numPr>
          <w:ilvl w:val="1"/>
          <w:numId w:val="1"/>
        </w:numPr>
      </w:pPr>
      <w:bookmarkStart w:id="0" w:name="_Hlk526243346"/>
      <w:r>
        <w:rPr>
          <w:b w:val="0"/>
        </w:rPr>
        <w:t>What’s new for the Phase III WIPs?</w:t>
      </w:r>
    </w:p>
    <w:p w14:paraId="77EFA160" w14:textId="77777777" w:rsidR="00C84FF2" w:rsidRPr="00C84FF2" w:rsidRDefault="00C84FF2" w:rsidP="00C84FF2">
      <w:pPr>
        <w:pStyle w:val="Heading1"/>
        <w:numPr>
          <w:ilvl w:val="2"/>
          <w:numId w:val="1"/>
        </w:numPr>
        <w:ind w:left="2520"/>
        <w:rPr>
          <w:b w:val="0"/>
        </w:rPr>
      </w:pPr>
      <w:r w:rsidRPr="00C84FF2">
        <w:rPr>
          <w:b w:val="0"/>
        </w:rPr>
        <w:t>Emphasis on engaging local governments in this round of WIPs</w:t>
      </w:r>
    </w:p>
    <w:bookmarkEnd w:id="0"/>
    <w:p w14:paraId="3F0ED6F0" w14:textId="77777777" w:rsidR="00C84FF2" w:rsidRPr="00C84FF2" w:rsidRDefault="00C84FF2" w:rsidP="00C84FF2">
      <w:pPr>
        <w:pStyle w:val="Heading1"/>
        <w:numPr>
          <w:ilvl w:val="2"/>
          <w:numId w:val="1"/>
        </w:numPr>
        <w:ind w:left="2520"/>
        <w:rPr>
          <w:b w:val="0"/>
        </w:rPr>
      </w:pPr>
      <w:r w:rsidRPr="00C84FF2">
        <w:rPr>
          <w:b w:val="0"/>
        </w:rPr>
        <w:t>New Phase 6 Watershed Model</w:t>
      </w:r>
    </w:p>
    <w:p w14:paraId="37588C54" w14:textId="77777777" w:rsidR="00C84FF2" w:rsidRPr="00C84FF2" w:rsidRDefault="00C84FF2" w:rsidP="00C84FF2">
      <w:pPr>
        <w:pStyle w:val="Heading1"/>
        <w:numPr>
          <w:ilvl w:val="2"/>
          <w:numId w:val="1"/>
        </w:numPr>
        <w:ind w:left="2520"/>
        <w:rPr>
          <w:b w:val="0"/>
        </w:rPr>
      </w:pPr>
      <w:r w:rsidRPr="00C84FF2">
        <w:rPr>
          <w:b w:val="0"/>
        </w:rPr>
        <w:t>Hundreds of new best management practices (BMPs) available for credit</w:t>
      </w:r>
    </w:p>
    <w:p w14:paraId="5B0C55DF" w14:textId="77777777" w:rsidR="00C84FF2" w:rsidRPr="00C84FF2" w:rsidRDefault="00C84FF2" w:rsidP="00C84FF2">
      <w:pPr>
        <w:pStyle w:val="Heading1"/>
        <w:numPr>
          <w:ilvl w:val="2"/>
          <w:numId w:val="1"/>
        </w:numPr>
        <w:ind w:left="2520"/>
        <w:rPr>
          <w:b w:val="0"/>
        </w:rPr>
      </w:pPr>
      <w:r w:rsidRPr="00C84FF2">
        <w:rPr>
          <w:b w:val="0"/>
        </w:rPr>
        <w:t>Using 2025 population growth figures</w:t>
      </w:r>
    </w:p>
    <w:p w14:paraId="0347204F" w14:textId="77777777" w:rsidR="00C84FF2" w:rsidRPr="00C84FF2" w:rsidRDefault="00C84FF2" w:rsidP="00C84FF2">
      <w:pPr>
        <w:pStyle w:val="Heading1"/>
        <w:numPr>
          <w:ilvl w:val="2"/>
          <w:numId w:val="1"/>
        </w:numPr>
        <w:ind w:left="2520"/>
        <w:rPr>
          <w:b w:val="0"/>
        </w:rPr>
      </w:pPr>
      <w:r w:rsidRPr="00C84FF2">
        <w:rPr>
          <w:b w:val="0"/>
        </w:rPr>
        <w:t>Increased monitoring trends—over 30 years-worth of information</w:t>
      </w:r>
    </w:p>
    <w:p w14:paraId="5AAF3770" w14:textId="77777777" w:rsidR="00C84FF2" w:rsidRDefault="00C84FF2" w:rsidP="00C84FF2">
      <w:pPr>
        <w:pStyle w:val="Heading1"/>
        <w:numPr>
          <w:ilvl w:val="2"/>
          <w:numId w:val="1"/>
        </w:numPr>
        <w:ind w:left="2520"/>
        <w:rPr>
          <w:b w:val="0"/>
        </w:rPr>
      </w:pPr>
      <w:r w:rsidRPr="00C84FF2">
        <w:rPr>
          <w:b w:val="0"/>
        </w:rPr>
        <w:t>First-time inclusion of climate change</w:t>
      </w:r>
      <w:r w:rsidR="003E4BCD">
        <w:rPr>
          <w:b w:val="0"/>
        </w:rPr>
        <w:t xml:space="preserve"> through a narrative strategy.</w:t>
      </w:r>
    </w:p>
    <w:p w14:paraId="0EEE9B22" w14:textId="1B994C9F" w:rsidR="00C84FF2" w:rsidRDefault="00C84FF2" w:rsidP="005E25EB">
      <w:pPr>
        <w:pStyle w:val="ListParagraph"/>
        <w:numPr>
          <w:ilvl w:val="1"/>
          <w:numId w:val="1"/>
        </w:numPr>
        <w:ind w:left="2520"/>
      </w:pPr>
      <w:r>
        <w:t xml:space="preserve">The Chesapeake Bay Program has written blogs about these topics. Learn more about: </w:t>
      </w:r>
      <w:hyperlink r:id="rId8" w:history="1">
        <w:r w:rsidRPr="00FE4EC0">
          <w:rPr>
            <w:rStyle w:val="Hyperlink"/>
          </w:rPr>
          <w:t>WIPs</w:t>
        </w:r>
      </w:hyperlink>
      <w:r>
        <w:t xml:space="preserve"> | </w:t>
      </w:r>
      <w:hyperlink r:id="rId9" w:history="1">
        <w:r w:rsidR="005E25EB" w:rsidRPr="005E25EB">
          <w:rPr>
            <w:rStyle w:val="Hyperlink"/>
          </w:rPr>
          <w:t>WIP Expectations</w:t>
        </w:r>
      </w:hyperlink>
      <w:r w:rsidR="005E25EB">
        <w:t xml:space="preserve"> </w:t>
      </w:r>
      <w:r w:rsidR="005E25EB" w:rsidRPr="005E25EB">
        <w:t>|</w:t>
      </w:r>
      <w:r w:rsidR="005E25EB">
        <w:t xml:space="preserve"> </w:t>
      </w:r>
      <w:hyperlink r:id="rId10" w:history="1">
        <w:r w:rsidRPr="00FE4EC0">
          <w:rPr>
            <w:rStyle w:val="Hyperlink"/>
          </w:rPr>
          <w:t>Phase 6 model</w:t>
        </w:r>
      </w:hyperlink>
      <w:r>
        <w:t xml:space="preserve"> | </w:t>
      </w:r>
      <w:hyperlink r:id="rId11" w:history="1">
        <w:r w:rsidRPr="00FE4EC0">
          <w:rPr>
            <w:rStyle w:val="Hyperlink"/>
          </w:rPr>
          <w:t>BMPs</w:t>
        </w:r>
      </w:hyperlink>
      <w:r>
        <w:t xml:space="preserve"> | </w:t>
      </w:r>
      <w:hyperlink r:id="rId12" w:history="1">
        <w:r w:rsidRPr="00FE4EC0">
          <w:rPr>
            <w:rStyle w:val="Hyperlink"/>
          </w:rPr>
          <w:t>2025 population growth</w:t>
        </w:r>
      </w:hyperlink>
      <w:r>
        <w:t xml:space="preserve"> | </w:t>
      </w:r>
      <w:hyperlink r:id="rId13" w:history="1">
        <w:r w:rsidRPr="00FE4EC0">
          <w:rPr>
            <w:rStyle w:val="Hyperlink"/>
          </w:rPr>
          <w:t>Pollution targets</w:t>
        </w:r>
      </w:hyperlink>
      <w:r>
        <w:t xml:space="preserve"> | </w:t>
      </w:r>
      <w:hyperlink r:id="rId14" w:history="1">
        <w:r>
          <w:rPr>
            <w:rStyle w:val="Hyperlink"/>
          </w:rPr>
          <w:t>Conowingo</w:t>
        </w:r>
      </w:hyperlink>
      <w:r>
        <w:t xml:space="preserve"> | </w:t>
      </w:r>
      <w:hyperlink r:id="rId15" w:history="1">
        <w:r w:rsidRPr="00C50EF9">
          <w:rPr>
            <w:rStyle w:val="Hyperlink"/>
          </w:rPr>
          <w:t>TMDL midpoint assessment</w:t>
        </w:r>
      </w:hyperlink>
    </w:p>
    <w:p w14:paraId="72C230DA" w14:textId="77777777" w:rsidR="00C84FF2" w:rsidRPr="00C84FF2" w:rsidRDefault="00C84FF2" w:rsidP="00C84FF2">
      <w:pPr>
        <w:pStyle w:val="Heading1"/>
        <w:numPr>
          <w:ilvl w:val="0"/>
          <w:numId w:val="0"/>
        </w:numPr>
        <w:ind w:left="1800"/>
        <w:rPr>
          <w:b w:val="0"/>
        </w:rPr>
      </w:pPr>
    </w:p>
    <w:p w14:paraId="1ED922AB" w14:textId="77777777" w:rsidR="00A106DB" w:rsidRDefault="00C84FF2" w:rsidP="002F244A">
      <w:pPr>
        <w:pStyle w:val="Heading1"/>
        <w:numPr>
          <w:ilvl w:val="0"/>
          <w:numId w:val="1"/>
        </w:numPr>
        <w:tabs>
          <w:tab w:val="left" w:pos="1800"/>
          <w:tab w:val="left" w:pos="1801"/>
        </w:tabs>
        <w:spacing w:after="240"/>
      </w:pPr>
      <w:r>
        <w:t>What role does your organization play with WIP engagement?</w:t>
      </w:r>
    </w:p>
    <w:p w14:paraId="0B13BD2F" w14:textId="77777777" w:rsidR="00396C09" w:rsidRPr="00396C09" w:rsidRDefault="00396C09" w:rsidP="00396C09">
      <w:pPr>
        <w:numPr>
          <w:ilvl w:val="1"/>
          <w:numId w:val="1"/>
        </w:numPr>
        <w:outlineLvl w:val="0"/>
        <w:rPr>
          <w:b/>
          <w:bCs/>
        </w:rPr>
      </w:pPr>
      <w:r>
        <w:rPr>
          <w:bCs/>
        </w:rPr>
        <w:t>Pennsylvania</w:t>
      </w:r>
    </w:p>
    <w:p w14:paraId="0F4D7D5B" w14:textId="77777777" w:rsidR="00396C09" w:rsidRDefault="00396C09" w:rsidP="00396C09">
      <w:pPr>
        <w:numPr>
          <w:ilvl w:val="2"/>
          <w:numId w:val="1"/>
        </w:numPr>
        <w:ind w:left="2520"/>
        <w:outlineLvl w:val="0"/>
        <w:rPr>
          <w:bCs/>
        </w:rPr>
      </w:pPr>
      <w:r>
        <w:rPr>
          <w:bCs/>
        </w:rPr>
        <w:t xml:space="preserve">DEP is leading the WIP planning effort along with </w:t>
      </w:r>
      <w:r w:rsidR="003E4BCD">
        <w:rPr>
          <w:bCs/>
        </w:rPr>
        <w:t xml:space="preserve">the PA </w:t>
      </w:r>
      <w:r>
        <w:rPr>
          <w:bCs/>
        </w:rPr>
        <w:t>Dept. of Ag and DCNR</w:t>
      </w:r>
    </w:p>
    <w:p w14:paraId="2ACED843" w14:textId="77777777" w:rsidR="003C4D55" w:rsidRDefault="00396C09" w:rsidP="003C4D55">
      <w:pPr>
        <w:numPr>
          <w:ilvl w:val="2"/>
          <w:numId w:val="1"/>
        </w:numPr>
        <w:ind w:left="2520"/>
        <w:outlineLvl w:val="0"/>
        <w:rPr>
          <w:bCs/>
        </w:rPr>
      </w:pPr>
      <w:r>
        <w:rPr>
          <w:bCs/>
        </w:rPr>
        <w:t>DEP has a Chesapeake Bay Office with a steering committee and seven workgroups, two of which have been especially high profile: Local Area Goals Workgroup, which put together the Community Clean Water Toolbox that’s being piloted with four PA counties; and the Communications and Engagement Workgroup, which has created materials that can be used to reach out to other PA counties after the pilot</w:t>
      </w:r>
    </w:p>
    <w:p w14:paraId="5C4B51C3" w14:textId="77777777" w:rsidR="00396C09" w:rsidRPr="003C4D55" w:rsidRDefault="003C4D55" w:rsidP="003C4D55">
      <w:pPr>
        <w:numPr>
          <w:ilvl w:val="2"/>
          <w:numId w:val="1"/>
        </w:numPr>
        <w:ind w:left="2520"/>
        <w:outlineLvl w:val="0"/>
        <w:rPr>
          <w:rStyle w:val="Hyperlink"/>
          <w:bCs/>
          <w:color w:val="auto"/>
          <w:u w:val="none"/>
        </w:rPr>
      </w:pPr>
      <w:r>
        <w:lastRenderedPageBreak/>
        <w:t xml:space="preserve">Learn more in Deb’s recent blog post: </w:t>
      </w:r>
      <w:hyperlink r:id="rId16" w:history="1">
        <w:r w:rsidRPr="00C50EF9">
          <w:rPr>
            <w:rStyle w:val="Hyperlink"/>
          </w:rPr>
          <w:t>Inside Pennsylvania’s strategy for healthier local streams in the Chesapeake Bay watershed</w:t>
        </w:r>
      </w:hyperlink>
    </w:p>
    <w:p w14:paraId="508C945C" w14:textId="77777777" w:rsidR="003C4D55" w:rsidRPr="003C4D55" w:rsidRDefault="003C4D55" w:rsidP="003C4D55">
      <w:pPr>
        <w:numPr>
          <w:ilvl w:val="1"/>
          <w:numId w:val="1"/>
        </w:numPr>
        <w:outlineLvl w:val="0"/>
        <w:rPr>
          <w:rStyle w:val="Hyperlink"/>
          <w:bCs/>
          <w:color w:val="auto"/>
          <w:u w:val="none"/>
        </w:rPr>
      </w:pPr>
      <w:r>
        <w:rPr>
          <w:rStyle w:val="Hyperlink"/>
          <w:color w:val="auto"/>
          <w:u w:val="none"/>
        </w:rPr>
        <w:t xml:space="preserve">Delaware </w:t>
      </w:r>
    </w:p>
    <w:p w14:paraId="3C246430" w14:textId="77777777" w:rsidR="003C4D55" w:rsidRDefault="003C4D55" w:rsidP="003C4D55">
      <w:pPr>
        <w:numPr>
          <w:ilvl w:val="2"/>
          <w:numId w:val="1"/>
        </w:numPr>
        <w:ind w:left="2520"/>
        <w:outlineLvl w:val="0"/>
        <w:rPr>
          <w:bCs/>
        </w:rPr>
      </w:pPr>
      <w:r w:rsidRPr="003C4D55">
        <w:rPr>
          <w:bCs/>
        </w:rPr>
        <w:t>DNREC has quarterly WIP meetings and committees for each of the sectors. Phil Miller is the chair for the communications subcommittee. That group will start to meet monthly to devote more time to WIP development.</w:t>
      </w:r>
      <w:r>
        <w:rPr>
          <w:bCs/>
        </w:rPr>
        <w:t xml:space="preserve"> </w:t>
      </w:r>
    </w:p>
    <w:p w14:paraId="5B246C50" w14:textId="77777777" w:rsidR="003C4D55" w:rsidRDefault="003C4D55" w:rsidP="003C4D55">
      <w:pPr>
        <w:numPr>
          <w:ilvl w:val="2"/>
          <w:numId w:val="1"/>
        </w:numPr>
        <w:ind w:left="2520"/>
        <w:outlineLvl w:val="0"/>
        <w:rPr>
          <w:bCs/>
        </w:rPr>
      </w:pPr>
      <w:r>
        <w:rPr>
          <w:bCs/>
        </w:rPr>
        <w:t xml:space="preserve">Coordinate Reclaim our River program: includes water quality workshops, events, recreation opportunities, etc. </w:t>
      </w:r>
    </w:p>
    <w:p w14:paraId="1F5C21F7" w14:textId="77777777" w:rsidR="003C4D55" w:rsidRDefault="003C4D55" w:rsidP="003C4D55">
      <w:pPr>
        <w:numPr>
          <w:ilvl w:val="2"/>
          <w:numId w:val="1"/>
        </w:numPr>
        <w:ind w:left="2520"/>
        <w:outlineLvl w:val="0"/>
        <w:rPr>
          <w:bCs/>
        </w:rPr>
      </w:pPr>
      <w:r>
        <w:rPr>
          <w:bCs/>
        </w:rPr>
        <w:t>Shares messaging through videos, website, social meeting, newsletters, etc.</w:t>
      </w:r>
    </w:p>
    <w:p w14:paraId="2C8FBF99" w14:textId="77777777" w:rsidR="00396C09" w:rsidRDefault="003C4D55" w:rsidP="003C4D55">
      <w:pPr>
        <w:numPr>
          <w:ilvl w:val="2"/>
          <w:numId w:val="1"/>
        </w:numPr>
        <w:ind w:left="2520"/>
        <w:outlineLvl w:val="0"/>
        <w:rPr>
          <w:bCs/>
        </w:rPr>
      </w:pPr>
      <w:r>
        <w:rPr>
          <w:bCs/>
        </w:rPr>
        <w:t>New projects: SAV, similar to Grasses for the Masses</w:t>
      </w:r>
    </w:p>
    <w:p w14:paraId="21B61345" w14:textId="77777777" w:rsidR="003C4D55" w:rsidRDefault="003C4D55" w:rsidP="003C4D55">
      <w:pPr>
        <w:numPr>
          <w:ilvl w:val="1"/>
          <w:numId w:val="1"/>
        </w:numPr>
        <w:outlineLvl w:val="0"/>
        <w:rPr>
          <w:bCs/>
        </w:rPr>
      </w:pPr>
      <w:bookmarkStart w:id="1" w:name="_Hlk526244773"/>
      <w:r>
        <w:rPr>
          <w:bCs/>
        </w:rPr>
        <w:t>West Virginia</w:t>
      </w:r>
    </w:p>
    <w:p w14:paraId="610E0ADE" w14:textId="77777777" w:rsidR="003C4D55" w:rsidRDefault="003C4D55" w:rsidP="003C4D55">
      <w:pPr>
        <w:numPr>
          <w:ilvl w:val="2"/>
          <w:numId w:val="1"/>
        </w:numPr>
        <w:ind w:left="2520"/>
        <w:outlineLvl w:val="0"/>
        <w:rPr>
          <w:bCs/>
        </w:rPr>
      </w:pPr>
      <w:r w:rsidRPr="003C4D55">
        <w:rPr>
          <w:bCs/>
        </w:rPr>
        <w:t>Matt Pennington: Represents 12 local governments in the eastern part of the state</w:t>
      </w:r>
    </w:p>
    <w:p w14:paraId="72C3C774" w14:textId="77777777" w:rsidR="003C4D55" w:rsidRDefault="003C4D55" w:rsidP="003C4D55">
      <w:pPr>
        <w:numPr>
          <w:ilvl w:val="2"/>
          <w:numId w:val="1"/>
        </w:numPr>
        <w:ind w:left="2520"/>
        <w:outlineLvl w:val="0"/>
        <w:rPr>
          <w:bCs/>
        </w:rPr>
      </w:pPr>
      <w:r>
        <w:rPr>
          <w:bCs/>
        </w:rPr>
        <w:t>Keeping a similar strategy as Phase II</w:t>
      </w:r>
    </w:p>
    <w:bookmarkEnd w:id="1"/>
    <w:p w14:paraId="5BC7A10E" w14:textId="631D299B" w:rsidR="003C4D55" w:rsidRDefault="003E4BCD" w:rsidP="003C4D55">
      <w:pPr>
        <w:numPr>
          <w:ilvl w:val="2"/>
          <w:numId w:val="1"/>
        </w:numPr>
        <w:ind w:left="2520"/>
        <w:outlineLvl w:val="0"/>
        <w:rPr>
          <w:bCs/>
        </w:rPr>
      </w:pPr>
      <w:r>
        <w:rPr>
          <w:bCs/>
        </w:rPr>
        <w:t>Kick-off meeting held June 1, followed by</w:t>
      </w:r>
      <w:r w:rsidR="003C4D55">
        <w:rPr>
          <w:bCs/>
        </w:rPr>
        <w:t xml:space="preserve"> a series of local government meetings over the summer, now focusing on the commonalities and shared goals that came from those</w:t>
      </w:r>
    </w:p>
    <w:p w14:paraId="147A6FEE" w14:textId="77777777" w:rsidR="003C4D55" w:rsidRDefault="003E4BCD" w:rsidP="003C4D55">
      <w:pPr>
        <w:numPr>
          <w:ilvl w:val="2"/>
          <w:numId w:val="1"/>
        </w:numPr>
        <w:ind w:left="2520"/>
        <w:outlineLvl w:val="0"/>
        <w:rPr>
          <w:bCs/>
        </w:rPr>
      </w:pPr>
      <w:r>
        <w:rPr>
          <w:bCs/>
        </w:rPr>
        <w:t xml:space="preserve">WV Tributary </w:t>
      </w:r>
      <w:r w:rsidR="003C4D55">
        <w:rPr>
          <w:bCs/>
        </w:rPr>
        <w:t>Team with members from WVDA, Conservation Districts, the Cacapon Institute, WV DEP, and Matt (representing the local government voice) will get together to draft the WIP</w:t>
      </w:r>
    </w:p>
    <w:p w14:paraId="3824A8C5" w14:textId="77777777" w:rsidR="003C4D55" w:rsidRDefault="003C4D55" w:rsidP="003C4D55">
      <w:pPr>
        <w:numPr>
          <w:ilvl w:val="2"/>
          <w:numId w:val="1"/>
        </w:numPr>
        <w:ind w:left="2520"/>
        <w:outlineLvl w:val="0"/>
        <w:rPr>
          <w:bCs/>
        </w:rPr>
      </w:pPr>
      <w:r>
        <w:rPr>
          <w:bCs/>
        </w:rPr>
        <w:t xml:space="preserve">Jennifer Greiner, USFWS/Habitat GIT: interested in the translation from the technical planning to the implementers; </w:t>
      </w:r>
      <w:r w:rsidR="00B32AB6">
        <w:rPr>
          <w:bCs/>
        </w:rPr>
        <w:t>focus on incentivizing practices by connecting them to community values (e.g. incentivizing habitat restoration by focusing on benefits to bobwhite quail on Delmarva peninsula; focusing on livable communities rather than pollution diet)</w:t>
      </w:r>
      <w:r w:rsidR="003E4BCD">
        <w:rPr>
          <w:bCs/>
        </w:rPr>
        <w:t>. Linking water quality BMPs to what speaks to people.</w:t>
      </w:r>
    </w:p>
    <w:p w14:paraId="716B66F4" w14:textId="77777777" w:rsidR="00B32AB6" w:rsidRPr="00B32AB6" w:rsidRDefault="00B32AB6" w:rsidP="00B32AB6">
      <w:pPr>
        <w:numPr>
          <w:ilvl w:val="1"/>
          <w:numId w:val="1"/>
        </w:numPr>
        <w:outlineLvl w:val="0"/>
        <w:rPr>
          <w:bCs/>
        </w:rPr>
      </w:pPr>
      <w:bookmarkStart w:id="2" w:name="_Hlk526245320"/>
      <w:r w:rsidRPr="00B32AB6">
        <w:rPr>
          <w:bCs/>
        </w:rPr>
        <w:t>Virginia</w:t>
      </w:r>
    </w:p>
    <w:p w14:paraId="4059933B" w14:textId="77777777" w:rsidR="00B32AB6" w:rsidRDefault="00B32AB6" w:rsidP="00B32AB6">
      <w:pPr>
        <w:numPr>
          <w:ilvl w:val="2"/>
          <w:numId w:val="1"/>
        </w:numPr>
        <w:ind w:left="2520"/>
        <w:outlineLvl w:val="0"/>
        <w:rPr>
          <w:bCs/>
        </w:rPr>
      </w:pPr>
      <w:r>
        <w:rPr>
          <w:bCs/>
        </w:rPr>
        <w:t xml:space="preserve">Virginia is working with 14 different </w:t>
      </w:r>
      <w:bookmarkEnd w:id="2"/>
      <w:r>
        <w:rPr>
          <w:bCs/>
        </w:rPr>
        <w:t xml:space="preserve">Planning District Commissions (PDCs) that each represent several different localities. VA awarded grants </w:t>
      </w:r>
      <w:r w:rsidR="003E4BCD">
        <w:rPr>
          <w:bCs/>
        </w:rPr>
        <w:t xml:space="preserve">($50,000) </w:t>
      </w:r>
      <w:r>
        <w:rPr>
          <w:bCs/>
        </w:rPr>
        <w:t>to the PDCs to coordinate an input deck of BMPs that each locality proposes for the WIP IIIs. Voluntary program – some localities opted out.</w:t>
      </w:r>
    </w:p>
    <w:p w14:paraId="47720A30" w14:textId="70D201D6" w:rsidR="00FF6343" w:rsidRDefault="00FF6343" w:rsidP="00B32AB6">
      <w:pPr>
        <w:numPr>
          <w:ilvl w:val="2"/>
          <w:numId w:val="1"/>
        </w:numPr>
        <w:ind w:left="2520"/>
        <w:outlineLvl w:val="0"/>
        <w:rPr>
          <w:bCs/>
        </w:rPr>
      </w:pPr>
      <w:r>
        <w:rPr>
          <w:bCs/>
        </w:rPr>
        <w:t xml:space="preserve">Each PDC will hold </w:t>
      </w:r>
      <w:r w:rsidR="003E4BCD">
        <w:rPr>
          <w:bCs/>
        </w:rPr>
        <w:t>three</w:t>
      </w:r>
      <w:r>
        <w:rPr>
          <w:bCs/>
        </w:rPr>
        <w:t xml:space="preserve"> meetings with localities. There will then be a fourth meeting between PDCs and soil and water</w:t>
      </w:r>
      <w:r w:rsidR="003E4BCD">
        <w:rPr>
          <w:bCs/>
        </w:rPr>
        <w:t xml:space="preserve"> conservation</w:t>
      </w:r>
      <w:r>
        <w:rPr>
          <w:bCs/>
        </w:rPr>
        <w:t xml:space="preserve"> districts to combine everything.</w:t>
      </w:r>
    </w:p>
    <w:p w14:paraId="7CFD9F69" w14:textId="77777777" w:rsidR="00B32AB6" w:rsidRDefault="00B32AB6" w:rsidP="00B32AB6">
      <w:pPr>
        <w:numPr>
          <w:ilvl w:val="2"/>
          <w:numId w:val="1"/>
        </w:numPr>
        <w:ind w:left="2520"/>
        <w:outlineLvl w:val="0"/>
        <w:rPr>
          <w:bCs/>
        </w:rPr>
      </w:pPr>
      <w:r>
        <w:rPr>
          <w:bCs/>
        </w:rPr>
        <w:t xml:space="preserve">DEQ is working with the PDCs </w:t>
      </w:r>
      <w:r w:rsidR="00FF6343">
        <w:rPr>
          <w:bCs/>
        </w:rPr>
        <w:t>focusing on</w:t>
      </w:r>
      <w:r>
        <w:rPr>
          <w:bCs/>
        </w:rPr>
        <w:t xml:space="preserve"> urban, forest and septic; VA DCR is working with soil and water </w:t>
      </w:r>
      <w:r w:rsidR="003E4BCD">
        <w:rPr>
          <w:bCs/>
        </w:rPr>
        <w:t xml:space="preserve">conservation </w:t>
      </w:r>
      <w:r>
        <w:rPr>
          <w:bCs/>
        </w:rPr>
        <w:t>districts focusing on agriculture</w:t>
      </w:r>
      <w:r w:rsidR="003E4BCD">
        <w:rPr>
          <w:bCs/>
        </w:rPr>
        <w:t xml:space="preserve">. </w:t>
      </w:r>
    </w:p>
    <w:p w14:paraId="28D98664" w14:textId="77777777" w:rsidR="00FF6343" w:rsidRDefault="00FF6343" w:rsidP="00B32AB6">
      <w:pPr>
        <w:numPr>
          <w:ilvl w:val="2"/>
          <w:numId w:val="1"/>
        </w:numPr>
        <w:ind w:left="2520"/>
        <w:outlineLvl w:val="0"/>
        <w:rPr>
          <w:bCs/>
        </w:rPr>
      </w:pPr>
      <w:r>
        <w:rPr>
          <w:bCs/>
        </w:rPr>
        <w:t>DEQ is the lead for inputting everything into CAST to see if it will meet the targets and writing the final WIP</w:t>
      </w:r>
    </w:p>
    <w:p w14:paraId="3C057EEC" w14:textId="77777777" w:rsidR="00FF6343" w:rsidRDefault="00FF6343" w:rsidP="00B32AB6">
      <w:pPr>
        <w:numPr>
          <w:ilvl w:val="2"/>
          <w:numId w:val="1"/>
        </w:numPr>
        <w:ind w:left="2520"/>
        <w:outlineLvl w:val="0"/>
        <w:rPr>
          <w:bCs/>
        </w:rPr>
      </w:pPr>
      <w:r>
        <w:rPr>
          <w:bCs/>
        </w:rPr>
        <w:t>Tom Damm, EPA-R3: Are localities aware of all possible options and funding sources?</w:t>
      </w:r>
    </w:p>
    <w:p w14:paraId="39E30059" w14:textId="77777777" w:rsidR="00FF6343" w:rsidRDefault="00FF6343" w:rsidP="00FF6343">
      <w:pPr>
        <w:numPr>
          <w:ilvl w:val="3"/>
          <w:numId w:val="1"/>
        </w:numPr>
        <w:ind w:left="3384"/>
        <w:outlineLvl w:val="0"/>
        <w:rPr>
          <w:bCs/>
        </w:rPr>
      </w:pPr>
      <w:r>
        <w:rPr>
          <w:bCs/>
        </w:rPr>
        <w:t xml:space="preserve">Matt Pennington: localities usually don’t know all the BMPs and funding, but they know who to talk to so they can find out </w:t>
      </w:r>
    </w:p>
    <w:p w14:paraId="54911D4A" w14:textId="439D697A" w:rsidR="00B32AB6" w:rsidRDefault="00FF6343" w:rsidP="00FF6343">
      <w:pPr>
        <w:numPr>
          <w:ilvl w:val="3"/>
          <w:numId w:val="1"/>
        </w:numPr>
        <w:ind w:left="3384"/>
        <w:outlineLvl w:val="0"/>
        <w:rPr>
          <w:bCs/>
        </w:rPr>
      </w:pPr>
      <w:r>
        <w:rPr>
          <w:bCs/>
        </w:rPr>
        <w:t xml:space="preserve">Gina Hunt, MDNR: they often don’t know who to talk to on the natural resources side – that could be one focus for </w:t>
      </w:r>
      <w:r w:rsidR="003E4BCD">
        <w:rPr>
          <w:bCs/>
        </w:rPr>
        <w:t>a future</w:t>
      </w:r>
      <w:r>
        <w:rPr>
          <w:bCs/>
        </w:rPr>
        <w:t xml:space="preserve"> meeting</w:t>
      </w:r>
    </w:p>
    <w:p w14:paraId="5E1D7A3F" w14:textId="77777777" w:rsidR="00FF6343" w:rsidRPr="00FF6343" w:rsidRDefault="00FF6343" w:rsidP="00FF6343">
      <w:pPr>
        <w:numPr>
          <w:ilvl w:val="1"/>
          <w:numId w:val="1"/>
        </w:numPr>
        <w:outlineLvl w:val="0"/>
        <w:rPr>
          <w:bCs/>
        </w:rPr>
      </w:pPr>
      <w:r>
        <w:rPr>
          <w:bCs/>
        </w:rPr>
        <w:t>Maryland</w:t>
      </w:r>
    </w:p>
    <w:p w14:paraId="2BE79EFA" w14:textId="08E4352E" w:rsidR="00FF6343" w:rsidRDefault="00FF6343" w:rsidP="00FF6343">
      <w:pPr>
        <w:numPr>
          <w:ilvl w:val="1"/>
          <w:numId w:val="1"/>
        </w:numPr>
        <w:ind w:left="2520"/>
        <w:outlineLvl w:val="0"/>
        <w:rPr>
          <w:bCs/>
        </w:rPr>
      </w:pPr>
      <w:r>
        <w:rPr>
          <w:bCs/>
        </w:rPr>
        <w:t xml:space="preserve">Phase III is an extension of Phase II: Maryland has maintained a </w:t>
      </w:r>
      <w:r w:rsidR="003E4BCD">
        <w:rPr>
          <w:bCs/>
        </w:rPr>
        <w:t>B</w:t>
      </w:r>
      <w:r>
        <w:rPr>
          <w:bCs/>
        </w:rPr>
        <w:t>ay Workgroup and Bay Cabinet throughout, has revised stormwater/wastewater permits to comply with the WIP</w:t>
      </w:r>
    </w:p>
    <w:p w14:paraId="6FCA995C" w14:textId="77777777" w:rsidR="00FF6343" w:rsidRDefault="00FF6343" w:rsidP="00FF6343">
      <w:pPr>
        <w:numPr>
          <w:ilvl w:val="1"/>
          <w:numId w:val="1"/>
        </w:numPr>
        <w:ind w:left="2520"/>
        <w:outlineLvl w:val="0"/>
        <w:rPr>
          <w:bCs/>
        </w:rPr>
      </w:pPr>
      <w:r>
        <w:rPr>
          <w:bCs/>
        </w:rPr>
        <w:t>MDE is in charge of writing the WIP and making sure MD will meet 2025 targets</w:t>
      </w:r>
    </w:p>
    <w:p w14:paraId="4A6A55A2" w14:textId="77777777" w:rsidR="00FF6343" w:rsidRDefault="00FF6343" w:rsidP="00FF6343">
      <w:pPr>
        <w:numPr>
          <w:ilvl w:val="1"/>
          <w:numId w:val="1"/>
        </w:numPr>
        <w:ind w:left="2520"/>
        <w:outlineLvl w:val="0"/>
        <w:rPr>
          <w:bCs/>
        </w:rPr>
      </w:pPr>
      <w:r>
        <w:rPr>
          <w:bCs/>
        </w:rPr>
        <w:t xml:space="preserve">MDA is running CAST real time at soil and water </w:t>
      </w:r>
      <w:r w:rsidR="003E4BCD">
        <w:rPr>
          <w:bCs/>
        </w:rPr>
        <w:t xml:space="preserve">conservation </w:t>
      </w:r>
      <w:r>
        <w:rPr>
          <w:bCs/>
        </w:rPr>
        <w:t>district meetings so they know right then whether the district will be able to meet their targets</w:t>
      </w:r>
    </w:p>
    <w:p w14:paraId="6C640163" w14:textId="77777777" w:rsidR="00FF6343" w:rsidRPr="00FF6343" w:rsidRDefault="00FF6343" w:rsidP="00FF6343">
      <w:pPr>
        <w:ind w:left="2520"/>
        <w:outlineLvl w:val="0"/>
        <w:rPr>
          <w:bCs/>
        </w:rPr>
      </w:pPr>
    </w:p>
    <w:p w14:paraId="5396357D" w14:textId="77777777" w:rsidR="00A106DB" w:rsidRDefault="00C84FF2" w:rsidP="002F244A">
      <w:pPr>
        <w:pStyle w:val="Heading1"/>
        <w:numPr>
          <w:ilvl w:val="0"/>
          <w:numId w:val="1"/>
        </w:numPr>
        <w:spacing w:after="240"/>
      </w:pPr>
      <w:r>
        <w:t>Action Team expertise</w:t>
      </w:r>
    </w:p>
    <w:p w14:paraId="448EE66F" w14:textId="77777777" w:rsidR="00FF6343" w:rsidRDefault="00FF6343" w:rsidP="00FF6343">
      <w:pPr>
        <w:pStyle w:val="Heading1"/>
        <w:numPr>
          <w:ilvl w:val="1"/>
          <w:numId w:val="1"/>
        </w:numPr>
        <w:rPr>
          <w:b w:val="0"/>
        </w:rPr>
      </w:pPr>
      <w:r w:rsidRPr="00FF6343">
        <w:rPr>
          <w:b w:val="0"/>
        </w:rPr>
        <w:t xml:space="preserve">Deb: </w:t>
      </w:r>
      <w:r>
        <w:rPr>
          <w:b w:val="0"/>
        </w:rPr>
        <w:t>Communications, strategy, community engagement, media relations</w:t>
      </w:r>
    </w:p>
    <w:p w14:paraId="392B0AFD" w14:textId="77777777" w:rsidR="00FF6343" w:rsidRDefault="00FF6343" w:rsidP="00FF6343">
      <w:pPr>
        <w:pStyle w:val="Heading1"/>
        <w:numPr>
          <w:ilvl w:val="1"/>
          <w:numId w:val="1"/>
        </w:numPr>
        <w:rPr>
          <w:b w:val="0"/>
        </w:rPr>
      </w:pPr>
      <w:r>
        <w:rPr>
          <w:b w:val="0"/>
        </w:rPr>
        <w:t xml:space="preserve">Kristin Reilly, CCWC: </w:t>
      </w:r>
      <w:r w:rsidR="00D01537">
        <w:rPr>
          <w:b w:val="0"/>
        </w:rPr>
        <w:t xml:space="preserve">nonprofits can be valuable partners in community engagement. Have been </w:t>
      </w:r>
      <w:r w:rsidR="00D01537">
        <w:rPr>
          <w:b w:val="0"/>
        </w:rPr>
        <w:lastRenderedPageBreak/>
        <w:t>working on an advocates expectations document for each jurisdiction to communicate where they currently are and where to focus in Phase III. Are focusing on increased and steady funding for projects across the watershed, particularly BMPs.</w:t>
      </w:r>
    </w:p>
    <w:p w14:paraId="43515D82" w14:textId="77777777" w:rsidR="00D01537" w:rsidRDefault="00D01537" w:rsidP="00FF6343">
      <w:pPr>
        <w:pStyle w:val="Heading1"/>
        <w:numPr>
          <w:ilvl w:val="1"/>
          <w:numId w:val="1"/>
        </w:numPr>
        <w:rPr>
          <w:b w:val="0"/>
        </w:rPr>
      </w:pPr>
      <w:r>
        <w:rPr>
          <w:b w:val="0"/>
        </w:rPr>
        <w:t>Medessa Burian: The Municipal Online Stormwater Training (MOST) Center is able to help identify and meet needs in the stormwater sector. MOST offers online course development, case study development and communicating the cobenefits of stormwater management; also provide technical assistance on financing strategies</w:t>
      </w:r>
    </w:p>
    <w:p w14:paraId="237D16A6" w14:textId="77777777" w:rsidR="00D01537" w:rsidRDefault="00D01537" w:rsidP="00FF6343">
      <w:pPr>
        <w:pStyle w:val="Heading1"/>
        <w:numPr>
          <w:ilvl w:val="1"/>
          <w:numId w:val="1"/>
        </w:numPr>
        <w:rPr>
          <w:b w:val="0"/>
        </w:rPr>
      </w:pPr>
      <w:r>
        <w:rPr>
          <w:b w:val="0"/>
        </w:rPr>
        <w:t>Gina Hunt, MDNR/CBP Fish Habitat Coordinator: 12 outcome co</w:t>
      </w:r>
      <w:r w:rsidR="00D91E4B">
        <w:rPr>
          <w:b w:val="0"/>
        </w:rPr>
        <w:t>-</w:t>
      </w:r>
      <w:r>
        <w:rPr>
          <w:b w:val="0"/>
        </w:rPr>
        <w:t xml:space="preserve">benefits fact sheets that could help localities choose BMPs that also benefit natural resources. </w:t>
      </w:r>
    </w:p>
    <w:p w14:paraId="10DAB0A7" w14:textId="77777777" w:rsidR="00D01537" w:rsidRPr="00FF6343" w:rsidRDefault="00D01537" w:rsidP="00D01537">
      <w:pPr>
        <w:pStyle w:val="Heading1"/>
        <w:numPr>
          <w:ilvl w:val="0"/>
          <w:numId w:val="0"/>
        </w:numPr>
        <w:ind w:left="1800"/>
        <w:rPr>
          <w:b w:val="0"/>
        </w:rPr>
      </w:pPr>
    </w:p>
    <w:p w14:paraId="30B7C20C" w14:textId="77777777" w:rsidR="00A106DB" w:rsidRDefault="00C84FF2" w:rsidP="002F244A">
      <w:pPr>
        <w:pStyle w:val="Heading1"/>
        <w:numPr>
          <w:ilvl w:val="0"/>
          <w:numId w:val="1"/>
        </w:numPr>
        <w:spacing w:after="240"/>
      </w:pPr>
      <w:r>
        <w:t>Next steps</w:t>
      </w:r>
    </w:p>
    <w:p w14:paraId="149C15DC" w14:textId="570DC3A2" w:rsidR="00D01537" w:rsidRDefault="00D01537" w:rsidP="00D01537">
      <w:pPr>
        <w:pStyle w:val="Heading1"/>
        <w:numPr>
          <w:ilvl w:val="1"/>
          <w:numId w:val="1"/>
        </w:numPr>
        <w:spacing w:after="240"/>
      </w:pPr>
      <w:r>
        <w:rPr>
          <w:b w:val="0"/>
        </w:rPr>
        <w:t xml:space="preserve">Next call will </w:t>
      </w:r>
      <w:r w:rsidR="005E25EB">
        <w:rPr>
          <w:b w:val="0"/>
        </w:rPr>
        <w:t>dive deeper into</w:t>
      </w:r>
      <w:bookmarkStart w:id="3" w:name="_GoBack"/>
      <w:bookmarkEnd w:id="3"/>
      <w:r>
        <w:rPr>
          <w:b w:val="0"/>
        </w:rPr>
        <w:t xml:space="preserve"> needs and challenges, and we can start to brainstorm how the action team can support those needs</w:t>
      </w:r>
    </w:p>
    <w:p w14:paraId="42FF680C" w14:textId="77777777" w:rsidR="00A106DB" w:rsidRPr="00017992" w:rsidRDefault="00017992" w:rsidP="00017992">
      <w:pPr>
        <w:pStyle w:val="Heading1"/>
        <w:numPr>
          <w:ilvl w:val="0"/>
          <w:numId w:val="1"/>
        </w:numPr>
        <w:spacing w:after="240"/>
      </w:pPr>
      <w:r>
        <w:t>Wrap</w:t>
      </w:r>
      <w:r>
        <w:rPr>
          <w:spacing w:val="-1"/>
        </w:rPr>
        <w:t xml:space="preserve"> </w:t>
      </w:r>
      <w:r>
        <w:t>Up</w:t>
      </w:r>
    </w:p>
    <w:p w14:paraId="5B476701" w14:textId="77777777" w:rsidR="00A106DB" w:rsidRDefault="00017992">
      <w:pPr>
        <w:ind w:left="1800"/>
      </w:pPr>
      <w:r>
        <w:rPr>
          <w:b/>
        </w:rPr>
        <w:t xml:space="preserve">Next meeting: </w:t>
      </w:r>
      <w:r w:rsidR="00C84FF2">
        <w:t>Scheduler will be coming out soon for the week of October 15</w:t>
      </w:r>
    </w:p>
    <w:p w14:paraId="5D47789D" w14:textId="77777777" w:rsidR="00A106DB" w:rsidRDefault="00A106DB">
      <w:pPr>
        <w:pStyle w:val="BodyText"/>
        <w:rPr>
          <w:sz w:val="20"/>
        </w:rPr>
      </w:pPr>
    </w:p>
    <w:p w14:paraId="19EB046A" w14:textId="77777777" w:rsidR="00A106DB" w:rsidRDefault="00A106DB">
      <w:pPr>
        <w:pStyle w:val="BodyText"/>
        <w:rPr>
          <w:sz w:val="20"/>
        </w:rPr>
      </w:pPr>
    </w:p>
    <w:p w14:paraId="68152721" w14:textId="77777777" w:rsidR="00A106DB" w:rsidRDefault="00A106DB">
      <w:pPr>
        <w:pStyle w:val="BodyText"/>
        <w:rPr>
          <w:sz w:val="20"/>
        </w:rPr>
      </w:pPr>
    </w:p>
    <w:p w14:paraId="0E8B07EA" w14:textId="77777777" w:rsidR="00A106DB" w:rsidRDefault="00A106DB">
      <w:pPr>
        <w:pStyle w:val="BodyText"/>
        <w:rPr>
          <w:sz w:val="20"/>
        </w:rPr>
      </w:pPr>
    </w:p>
    <w:p w14:paraId="06BB5734" w14:textId="77777777" w:rsidR="00A106DB" w:rsidRDefault="00A106DB" w:rsidP="005A79C0">
      <w:pPr>
        <w:pStyle w:val="BodyText"/>
        <w:spacing w:before="56"/>
        <w:ind w:right="112"/>
      </w:pPr>
    </w:p>
    <w:sectPr w:rsidR="00A106DB" w:rsidSect="00396C09">
      <w:type w:val="continuous"/>
      <w:pgSz w:w="12240" w:h="15840"/>
      <w:pgMar w:top="1008" w:right="1325" w:bottom="1008" w:left="43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0CD3F" w14:textId="77777777" w:rsidR="005F4AC3" w:rsidRDefault="005F4AC3" w:rsidP="001C4FDF">
      <w:r>
        <w:separator/>
      </w:r>
    </w:p>
  </w:endnote>
  <w:endnote w:type="continuationSeparator" w:id="0">
    <w:p w14:paraId="7498C150" w14:textId="77777777" w:rsidR="005F4AC3" w:rsidRDefault="005F4AC3" w:rsidP="001C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8AADD" w14:textId="77777777" w:rsidR="005F4AC3" w:rsidRDefault="005F4AC3" w:rsidP="001C4FDF">
      <w:r>
        <w:separator/>
      </w:r>
    </w:p>
  </w:footnote>
  <w:footnote w:type="continuationSeparator" w:id="0">
    <w:p w14:paraId="233BFB83" w14:textId="77777777" w:rsidR="005F4AC3" w:rsidRDefault="005F4AC3" w:rsidP="001C4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4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1"/>
      <w:gridCol w:w="10506"/>
    </w:tblGrid>
    <w:tr w:rsidR="00396C09" w:rsidRPr="001C4FDF" w14:paraId="565BF48C" w14:textId="77777777" w:rsidTr="00E649C7">
      <w:tc>
        <w:tcPr>
          <w:tcW w:w="3116" w:type="dxa"/>
        </w:tcPr>
        <w:p w14:paraId="5D07BFDD" w14:textId="77777777" w:rsidR="00396C09" w:rsidRPr="001C4FDF" w:rsidRDefault="00396C09" w:rsidP="00396C09">
          <w:pPr>
            <w:tabs>
              <w:tab w:val="center" w:pos="4680"/>
              <w:tab w:val="right" w:pos="9360"/>
            </w:tabs>
            <w:rPr>
              <w:rFonts w:cs="Arial"/>
              <w:lang w:bidi="ar-SA"/>
            </w:rPr>
          </w:pPr>
          <w:r w:rsidRPr="001C4FDF">
            <w:rPr>
              <w:rFonts w:cs="Arial"/>
              <w:noProof/>
              <w:lang w:eastAsia="zh-TW" w:bidi="ar-SA"/>
            </w:rPr>
            <w:drawing>
              <wp:inline distT="0" distB="0" distL="0" distR="0" wp14:anchorId="52B24369" wp14:editId="1BD0EB0A">
                <wp:extent cx="1482324" cy="899707"/>
                <wp:effectExtent l="0" t="0" r="3810" b="0"/>
                <wp:docPr id="1" name="Picture 1" descr="C:\Users\jvalente\Desktop\cbplogoNOTEXT.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valente\Desktop\cbplogoNOTEXT.fw.png"/>
                        <pic:cNvPicPr>
                          <a:picLocks noChangeAspect="1" noChangeArrowheads="1"/>
                        </pic:cNvPicPr>
                      </pic:nvPicPr>
                      <pic:blipFill>
                        <a:blip r:embed="rId1"/>
                        <a:srcRect/>
                        <a:stretch>
                          <a:fillRect/>
                        </a:stretch>
                      </pic:blipFill>
                      <pic:spPr bwMode="auto">
                        <a:xfrm>
                          <a:off x="0" y="0"/>
                          <a:ext cx="1492929" cy="906144"/>
                        </a:xfrm>
                        <a:prstGeom prst="rect">
                          <a:avLst/>
                        </a:prstGeom>
                        <a:noFill/>
                        <a:ln w="9525">
                          <a:noFill/>
                          <a:miter lim="800000"/>
                          <a:headEnd/>
                          <a:tailEnd/>
                        </a:ln>
                      </pic:spPr>
                    </pic:pic>
                  </a:graphicData>
                </a:graphic>
              </wp:inline>
            </w:drawing>
          </w:r>
        </w:p>
      </w:tc>
      <w:tc>
        <w:tcPr>
          <w:tcW w:w="5974" w:type="dxa"/>
        </w:tcPr>
        <w:p w14:paraId="0D585E20" w14:textId="77777777" w:rsidR="00396C09" w:rsidRPr="001C4FDF" w:rsidRDefault="00396C09" w:rsidP="00396C09">
          <w:pPr>
            <w:tabs>
              <w:tab w:val="center" w:pos="4680"/>
              <w:tab w:val="right" w:pos="9360"/>
            </w:tabs>
            <w:jc w:val="center"/>
            <w:rPr>
              <w:rFonts w:cs="Arial"/>
              <w:b/>
              <w:lang w:bidi="ar-SA"/>
            </w:rPr>
          </w:pPr>
        </w:p>
        <w:p w14:paraId="121FA720" w14:textId="77777777" w:rsidR="00396C09" w:rsidRDefault="00396C09" w:rsidP="00396C09">
          <w:pPr>
            <w:tabs>
              <w:tab w:val="center" w:pos="4680"/>
              <w:tab w:val="right" w:pos="9360"/>
            </w:tabs>
            <w:ind w:right="6048"/>
            <w:jc w:val="center"/>
            <w:rPr>
              <w:rFonts w:eastAsia="Times New Roman" w:cs="Times New Roman"/>
              <w:b/>
              <w:bCs/>
              <w:sz w:val="26"/>
              <w:szCs w:val="26"/>
              <w:lang w:bidi="ar-SA"/>
            </w:rPr>
          </w:pPr>
          <w:r>
            <w:rPr>
              <w:rFonts w:eastAsia="Times New Roman" w:cs="Times New Roman"/>
              <w:b/>
              <w:bCs/>
              <w:sz w:val="26"/>
              <w:szCs w:val="26"/>
              <w:lang w:bidi="ar-SA"/>
            </w:rPr>
            <w:t>WIP Engagement Action Team Meeting</w:t>
          </w:r>
        </w:p>
        <w:p w14:paraId="635B44A0" w14:textId="77777777" w:rsidR="00396C09" w:rsidRPr="001C4FDF" w:rsidRDefault="00396C09" w:rsidP="00396C09">
          <w:pPr>
            <w:tabs>
              <w:tab w:val="center" w:pos="4680"/>
              <w:tab w:val="right" w:pos="9360"/>
            </w:tabs>
            <w:ind w:right="6048"/>
            <w:jc w:val="center"/>
            <w:rPr>
              <w:rFonts w:cs="Times New Roman"/>
              <w:b/>
              <w:bCs/>
              <w:sz w:val="26"/>
              <w:szCs w:val="26"/>
              <w:lang w:bidi="ar-SA"/>
            </w:rPr>
          </w:pPr>
          <w:r>
            <w:rPr>
              <w:rFonts w:eastAsia="Times New Roman" w:cs="Times New Roman"/>
              <w:b/>
              <w:bCs/>
              <w:sz w:val="26"/>
              <w:szCs w:val="26"/>
              <w:lang w:bidi="ar-SA"/>
            </w:rPr>
            <w:t>Communications Workgroup</w:t>
          </w:r>
        </w:p>
        <w:p w14:paraId="3F648B56" w14:textId="77777777" w:rsidR="00396C09" w:rsidRDefault="00396C09" w:rsidP="00396C09">
          <w:pPr>
            <w:tabs>
              <w:tab w:val="center" w:pos="4680"/>
              <w:tab w:val="right" w:pos="9360"/>
            </w:tabs>
            <w:ind w:right="6048"/>
            <w:jc w:val="center"/>
            <w:rPr>
              <w:rFonts w:eastAsia="Times New Roman" w:cs="Times New Roman"/>
              <w:lang w:bidi="ar-SA"/>
            </w:rPr>
          </w:pPr>
          <w:r>
            <w:rPr>
              <w:rFonts w:eastAsia="Times New Roman" w:cs="Times New Roman"/>
              <w:lang w:bidi="ar-SA"/>
            </w:rPr>
            <w:t>October 1</w:t>
          </w:r>
          <w:r w:rsidRPr="001C4FDF">
            <w:rPr>
              <w:rFonts w:eastAsia="Times New Roman" w:cs="Times New Roman"/>
              <w:lang w:bidi="ar-SA"/>
            </w:rPr>
            <w:t>, 201</w:t>
          </w:r>
          <w:r>
            <w:rPr>
              <w:rFonts w:eastAsia="Times New Roman" w:cs="Times New Roman"/>
              <w:lang w:bidi="ar-SA"/>
            </w:rPr>
            <w:t>8</w:t>
          </w:r>
        </w:p>
        <w:p w14:paraId="0F423A96" w14:textId="77777777" w:rsidR="00396C09" w:rsidRPr="001C4FDF" w:rsidRDefault="00396C09" w:rsidP="00396C09">
          <w:pPr>
            <w:tabs>
              <w:tab w:val="center" w:pos="4680"/>
              <w:tab w:val="right" w:pos="9360"/>
            </w:tabs>
            <w:ind w:right="6048"/>
            <w:jc w:val="center"/>
            <w:rPr>
              <w:rFonts w:eastAsia="Times New Roman" w:cs="Times New Roman"/>
              <w:lang w:bidi="ar-SA"/>
            </w:rPr>
          </w:pPr>
          <w:r w:rsidRPr="001C4FDF">
            <w:rPr>
              <w:rFonts w:eastAsia="Times New Roman" w:cs="Times New Roman"/>
              <w:lang w:bidi="ar-SA"/>
            </w:rPr>
            <w:t>1:00 to 2:00 p.m.</w:t>
          </w:r>
        </w:p>
        <w:p w14:paraId="7ACE45E2" w14:textId="77777777" w:rsidR="00396C09" w:rsidRPr="001C4FDF" w:rsidRDefault="00396C09" w:rsidP="00396C09">
          <w:pPr>
            <w:tabs>
              <w:tab w:val="center" w:pos="4680"/>
              <w:tab w:val="right" w:pos="9360"/>
            </w:tabs>
            <w:jc w:val="center"/>
            <w:rPr>
              <w:rFonts w:cs="Times New Roman"/>
              <w:b/>
              <w:bCs/>
              <w:lang w:bidi="ar-SA"/>
            </w:rPr>
          </w:pPr>
        </w:p>
      </w:tc>
    </w:tr>
  </w:tbl>
  <w:p w14:paraId="20C18C08" w14:textId="77777777" w:rsidR="00396C09" w:rsidRDefault="00396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3192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3B0C6E50"/>
    <w:multiLevelType w:val="hybridMultilevel"/>
    <w:tmpl w:val="7152D6F2"/>
    <w:lvl w:ilvl="0" w:tplc="09FEB8A8">
      <w:start w:val="1"/>
      <w:numFmt w:val="upperRoman"/>
      <w:lvlText w:val="%1."/>
      <w:lvlJc w:val="left"/>
      <w:pPr>
        <w:ind w:left="1800" w:hanging="720"/>
      </w:pPr>
      <w:rPr>
        <w:rFonts w:ascii="Calibri" w:eastAsia="Calibri" w:hAnsi="Calibri" w:cs="Calibri" w:hint="default"/>
        <w:b/>
        <w:bCs/>
        <w:spacing w:val="0"/>
        <w:w w:val="100"/>
        <w:sz w:val="22"/>
        <w:szCs w:val="22"/>
        <w:lang w:val="en-US" w:eastAsia="en-US" w:bidi="en-US"/>
      </w:rPr>
    </w:lvl>
    <w:lvl w:ilvl="1" w:tplc="8354932C">
      <w:numFmt w:val="bullet"/>
      <w:lvlText w:val=""/>
      <w:lvlJc w:val="left"/>
      <w:pPr>
        <w:ind w:left="1800" w:hanging="360"/>
      </w:pPr>
      <w:rPr>
        <w:rFonts w:ascii="Symbol" w:eastAsia="Symbol" w:hAnsi="Symbol" w:cs="Symbol" w:hint="default"/>
        <w:w w:val="100"/>
        <w:sz w:val="22"/>
        <w:szCs w:val="22"/>
        <w:lang w:val="en-US" w:eastAsia="en-US" w:bidi="en-US"/>
      </w:rPr>
    </w:lvl>
    <w:lvl w:ilvl="2" w:tplc="6E447ECA">
      <w:numFmt w:val="bullet"/>
      <w:lvlText w:val="•"/>
      <w:lvlJc w:val="left"/>
      <w:pPr>
        <w:ind w:left="3552" w:hanging="360"/>
      </w:pPr>
      <w:rPr>
        <w:rFonts w:hint="default"/>
        <w:lang w:val="en-US" w:eastAsia="en-US" w:bidi="en-US"/>
      </w:rPr>
    </w:lvl>
    <w:lvl w:ilvl="3" w:tplc="9ABE1624">
      <w:numFmt w:val="bullet"/>
      <w:lvlText w:val="•"/>
      <w:lvlJc w:val="left"/>
      <w:pPr>
        <w:ind w:left="4428" w:hanging="360"/>
      </w:pPr>
      <w:rPr>
        <w:rFonts w:hint="default"/>
        <w:lang w:val="en-US" w:eastAsia="en-US" w:bidi="en-US"/>
      </w:rPr>
    </w:lvl>
    <w:lvl w:ilvl="4" w:tplc="A18ABE96">
      <w:numFmt w:val="bullet"/>
      <w:lvlText w:val="•"/>
      <w:lvlJc w:val="left"/>
      <w:pPr>
        <w:ind w:left="5304" w:hanging="360"/>
      </w:pPr>
      <w:rPr>
        <w:rFonts w:hint="default"/>
        <w:lang w:val="en-US" w:eastAsia="en-US" w:bidi="en-US"/>
      </w:rPr>
    </w:lvl>
    <w:lvl w:ilvl="5" w:tplc="08E6AFFE">
      <w:numFmt w:val="bullet"/>
      <w:lvlText w:val="•"/>
      <w:lvlJc w:val="left"/>
      <w:pPr>
        <w:ind w:left="6180" w:hanging="360"/>
      </w:pPr>
      <w:rPr>
        <w:rFonts w:hint="default"/>
        <w:lang w:val="en-US" w:eastAsia="en-US" w:bidi="en-US"/>
      </w:rPr>
    </w:lvl>
    <w:lvl w:ilvl="6" w:tplc="1594128C">
      <w:numFmt w:val="bullet"/>
      <w:lvlText w:val="•"/>
      <w:lvlJc w:val="left"/>
      <w:pPr>
        <w:ind w:left="7056" w:hanging="360"/>
      </w:pPr>
      <w:rPr>
        <w:rFonts w:hint="default"/>
        <w:lang w:val="en-US" w:eastAsia="en-US" w:bidi="en-US"/>
      </w:rPr>
    </w:lvl>
    <w:lvl w:ilvl="7" w:tplc="ED9AC362">
      <w:numFmt w:val="bullet"/>
      <w:lvlText w:val="•"/>
      <w:lvlJc w:val="left"/>
      <w:pPr>
        <w:ind w:left="7932" w:hanging="360"/>
      </w:pPr>
      <w:rPr>
        <w:rFonts w:hint="default"/>
        <w:lang w:val="en-US" w:eastAsia="en-US" w:bidi="en-US"/>
      </w:rPr>
    </w:lvl>
    <w:lvl w:ilvl="8" w:tplc="166437E6">
      <w:numFmt w:val="bullet"/>
      <w:lvlText w:val="•"/>
      <w:lvlJc w:val="left"/>
      <w:pPr>
        <w:ind w:left="8808" w:hanging="360"/>
      </w:pPr>
      <w:rPr>
        <w:rFonts w:hint="default"/>
        <w:lang w:val="en-US" w:eastAsia="en-US" w:bidi="en-US"/>
      </w:rPr>
    </w:lvl>
  </w:abstractNum>
  <w:abstractNum w:abstractNumId="2" w15:restartNumberingAfterBreak="0">
    <w:nsid w:val="51EA47AA"/>
    <w:multiLevelType w:val="hybridMultilevel"/>
    <w:tmpl w:val="1388B80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DB"/>
    <w:rsid w:val="00017992"/>
    <w:rsid w:val="0007743D"/>
    <w:rsid w:val="001C4FDF"/>
    <w:rsid w:val="002E60FE"/>
    <w:rsid w:val="002F244A"/>
    <w:rsid w:val="00396C09"/>
    <w:rsid w:val="003C4D55"/>
    <w:rsid w:val="003E4BCD"/>
    <w:rsid w:val="005A79C0"/>
    <w:rsid w:val="005E25EB"/>
    <w:rsid w:val="005F4AC3"/>
    <w:rsid w:val="00614EEC"/>
    <w:rsid w:val="00A106DB"/>
    <w:rsid w:val="00B32AB6"/>
    <w:rsid w:val="00C84FF2"/>
    <w:rsid w:val="00D01537"/>
    <w:rsid w:val="00D91E4B"/>
    <w:rsid w:val="00EF4E84"/>
    <w:rsid w:val="00F60034"/>
    <w:rsid w:val="00FF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B1E993"/>
  <w15:docId w15:val="{E8CCEEB2-28D1-4180-9060-BACAA1BC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32AB6"/>
    <w:rPr>
      <w:rFonts w:ascii="Calibri" w:eastAsia="Calibri" w:hAnsi="Calibri" w:cs="Calibri"/>
      <w:lang w:bidi="en-US"/>
    </w:rPr>
  </w:style>
  <w:style w:type="paragraph" w:styleId="Heading1">
    <w:name w:val="heading 1"/>
    <w:basedOn w:val="Normal"/>
    <w:uiPriority w:val="1"/>
    <w:qFormat/>
    <w:pPr>
      <w:numPr>
        <w:numId w:val="3"/>
      </w:numPr>
      <w:outlineLvl w:val="0"/>
    </w:pPr>
    <w:rPr>
      <w:b/>
      <w:bCs/>
    </w:rPr>
  </w:style>
  <w:style w:type="paragraph" w:styleId="Heading2">
    <w:name w:val="heading 2"/>
    <w:basedOn w:val="Normal"/>
    <w:next w:val="Normal"/>
    <w:link w:val="Heading2Char"/>
    <w:uiPriority w:val="9"/>
    <w:semiHidden/>
    <w:unhideWhenUsed/>
    <w:qFormat/>
    <w:rsid w:val="002F244A"/>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F244A"/>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244A"/>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F244A"/>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F244A"/>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F244A"/>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F244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F244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800" w:hanging="72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2F244A"/>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2F244A"/>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2F244A"/>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2F244A"/>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2F244A"/>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2F244A"/>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2F244A"/>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2F244A"/>
    <w:rPr>
      <w:rFonts w:asciiTheme="majorHAnsi" w:eastAsiaTheme="majorEastAsia" w:hAnsiTheme="majorHAnsi" w:cstheme="majorBidi"/>
      <w:i/>
      <w:iCs/>
      <w:color w:val="272727" w:themeColor="text1" w:themeTint="D8"/>
      <w:sz w:val="21"/>
      <w:szCs w:val="21"/>
      <w:lang w:bidi="en-US"/>
    </w:rPr>
  </w:style>
  <w:style w:type="paragraph" w:styleId="Header">
    <w:name w:val="header"/>
    <w:basedOn w:val="Normal"/>
    <w:link w:val="HeaderChar"/>
    <w:uiPriority w:val="99"/>
    <w:unhideWhenUsed/>
    <w:rsid w:val="001C4FDF"/>
    <w:pPr>
      <w:tabs>
        <w:tab w:val="center" w:pos="4680"/>
        <w:tab w:val="right" w:pos="9360"/>
      </w:tabs>
    </w:pPr>
  </w:style>
  <w:style w:type="character" w:customStyle="1" w:styleId="HeaderChar">
    <w:name w:val="Header Char"/>
    <w:basedOn w:val="DefaultParagraphFont"/>
    <w:link w:val="Header"/>
    <w:uiPriority w:val="99"/>
    <w:rsid w:val="001C4FDF"/>
    <w:rPr>
      <w:rFonts w:ascii="Calibri" w:eastAsia="Calibri" w:hAnsi="Calibri" w:cs="Calibri"/>
      <w:lang w:bidi="en-US"/>
    </w:rPr>
  </w:style>
  <w:style w:type="paragraph" w:styleId="Footer">
    <w:name w:val="footer"/>
    <w:basedOn w:val="Normal"/>
    <w:link w:val="FooterChar"/>
    <w:uiPriority w:val="99"/>
    <w:unhideWhenUsed/>
    <w:rsid w:val="001C4FDF"/>
    <w:pPr>
      <w:tabs>
        <w:tab w:val="center" w:pos="4680"/>
        <w:tab w:val="right" w:pos="9360"/>
      </w:tabs>
    </w:pPr>
  </w:style>
  <w:style w:type="character" w:customStyle="1" w:styleId="FooterChar">
    <w:name w:val="Footer Char"/>
    <w:basedOn w:val="DefaultParagraphFont"/>
    <w:link w:val="Footer"/>
    <w:uiPriority w:val="99"/>
    <w:rsid w:val="001C4FDF"/>
    <w:rPr>
      <w:rFonts w:ascii="Calibri" w:eastAsia="Calibri" w:hAnsi="Calibri" w:cs="Calibri"/>
      <w:lang w:bidi="en-US"/>
    </w:rPr>
  </w:style>
  <w:style w:type="table" w:customStyle="1" w:styleId="TableGrid1">
    <w:name w:val="Table Grid1"/>
    <w:basedOn w:val="TableNormal"/>
    <w:next w:val="TableGrid"/>
    <w:uiPriority w:val="39"/>
    <w:rsid w:val="001C4FDF"/>
    <w:pPr>
      <w:widowControl/>
      <w:autoSpaceDE/>
      <w:autoSpaceDN/>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C4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4FF2"/>
    <w:rPr>
      <w:color w:val="0000FF" w:themeColor="hyperlink"/>
      <w:u w:val="single"/>
    </w:rPr>
  </w:style>
  <w:style w:type="character" w:styleId="CommentReference">
    <w:name w:val="annotation reference"/>
    <w:basedOn w:val="DefaultParagraphFont"/>
    <w:uiPriority w:val="99"/>
    <w:semiHidden/>
    <w:unhideWhenUsed/>
    <w:rsid w:val="003E4BCD"/>
    <w:rPr>
      <w:sz w:val="16"/>
      <w:szCs w:val="16"/>
    </w:rPr>
  </w:style>
  <w:style w:type="paragraph" w:styleId="CommentText">
    <w:name w:val="annotation text"/>
    <w:basedOn w:val="Normal"/>
    <w:link w:val="CommentTextChar"/>
    <w:uiPriority w:val="99"/>
    <w:semiHidden/>
    <w:unhideWhenUsed/>
    <w:rsid w:val="003E4BCD"/>
    <w:rPr>
      <w:sz w:val="20"/>
      <w:szCs w:val="20"/>
    </w:rPr>
  </w:style>
  <w:style w:type="character" w:customStyle="1" w:styleId="CommentTextChar">
    <w:name w:val="Comment Text Char"/>
    <w:basedOn w:val="DefaultParagraphFont"/>
    <w:link w:val="CommentText"/>
    <w:uiPriority w:val="99"/>
    <w:semiHidden/>
    <w:rsid w:val="003E4BCD"/>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3E4BCD"/>
    <w:rPr>
      <w:b/>
      <w:bCs/>
    </w:rPr>
  </w:style>
  <w:style w:type="character" w:customStyle="1" w:styleId="CommentSubjectChar">
    <w:name w:val="Comment Subject Char"/>
    <w:basedOn w:val="CommentTextChar"/>
    <w:link w:val="CommentSubject"/>
    <w:uiPriority w:val="99"/>
    <w:semiHidden/>
    <w:rsid w:val="003E4BCD"/>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3E4B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BCD"/>
    <w:rPr>
      <w:rFonts w:ascii="Segoe UI" w:eastAsia="Calibri" w:hAnsi="Segoe UI" w:cs="Segoe UI"/>
      <w:sz w:val="18"/>
      <w:szCs w:val="18"/>
      <w:lang w:bidi="en-US"/>
    </w:rPr>
  </w:style>
  <w:style w:type="character" w:styleId="UnresolvedMention">
    <w:name w:val="Unresolved Mention"/>
    <w:basedOn w:val="DefaultParagraphFont"/>
    <w:uiPriority w:val="99"/>
    <w:semiHidden/>
    <w:unhideWhenUsed/>
    <w:rsid w:val="005E25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hesapeakebay.net/news/blog/why_should_you_care_about_a_watershed_implementation_plan" TargetMode="External"/><Relationship Id="rId13" Type="http://schemas.openxmlformats.org/officeDocument/2006/relationships/hyperlink" Target="https://www.chesapeakebay.net/news/blog/the_population_of_people_isnt_the_only_thing_growing_in_the_chesapeake_reg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hesapeakebay.net/news/blog/the_population_of_people_isnt_the_only_thing_growing_in_the_chesapeake_reg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hesapeakebay.net/news/blog/inside_pennsylvanias_strategy_for_healthier_local_streams_in_the_chesapeak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esapeakebay.net/news/blog/the_best_ways_to_manage_pollution" TargetMode="External"/><Relationship Id="rId5" Type="http://schemas.openxmlformats.org/officeDocument/2006/relationships/footnotes" Target="footnotes.xml"/><Relationship Id="rId15" Type="http://schemas.openxmlformats.org/officeDocument/2006/relationships/hyperlink" Target="https://www.chesapeakebay.net/news/blog/halfway_to_2025_epa_releases_results_of_chesapeake_bay_pollution_diet_check" TargetMode="External"/><Relationship Id="rId10" Type="http://schemas.openxmlformats.org/officeDocument/2006/relationships/hyperlink" Target="https://www.chesapeakebay.net/news/blog/updated_tools_help_address_pollution_and_plan_for_the_future" TargetMode="External"/><Relationship Id="rId4" Type="http://schemas.openxmlformats.org/officeDocument/2006/relationships/webSettings" Target="webSettings.xml"/><Relationship Id="rId9" Type="http://schemas.openxmlformats.org/officeDocument/2006/relationships/hyperlink" Target="https://www.chesapeakebay.net/news/blog/epa_sets_expectations_for_states_d.c._in_third_phase_of_bay_pollution_diet" TargetMode="External"/><Relationship Id="rId14" Type="http://schemas.openxmlformats.org/officeDocument/2006/relationships/hyperlink" Target="https://www.chesapeakebay.net/news/blog/who_is_responsible_for_the_conowingo_d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CBPStaff</dc:creator>
  <cp:lastModifiedBy>Rebecca Chillrud</cp:lastModifiedBy>
  <cp:revision>2</cp:revision>
  <dcterms:created xsi:type="dcterms:W3CDTF">2018-10-04T20:26:00Z</dcterms:created>
  <dcterms:modified xsi:type="dcterms:W3CDTF">2018-10-04T20:26:00Z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Microsoft® Word 2016</vt:lpwstr>
  </property>
  <property fmtid="{D5CDD505-2E9C-101B-9397-08002B2CF9AE}" pid="4" name="LastSaved">
    <vt:filetime>2018-03-09T00:00:00Z</vt:filetime>
  </property>
</Properties>
</file>