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666" w:type="pct"/>
        <w:tblInd w:w="-846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shd w:val="clear" w:color="auto" w:fill="FFFFFF" w:themeFill="background1"/>
        <w:tblLayout w:type="fixed"/>
        <w:tblCellMar>
          <w:left w:w="0" w:type="dxa"/>
          <w:right w:w="0" w:type="dxa"/>
        </w:tblCellMar>
        <w:tblLook w:val="0420" w:firstRow="1" w:lastRow="0" w:firstColumn="0" w:lastColumn="0" w:noHBand="0" w:noVBand="1"/>
      </w:tblPr>
      <w:tblGrid>
        <w:gridCol w:w="1441"/>
        <w:gridCol w:w="1529"/>
        <w:gridCol w:w="2612"/>
        <w:gridCol w:w="1623"/>
        <w:gridCol w:w="1615"/>
        <w:gridCol w:w="3058"/>
        <w:gridCol w:w="2881"/>
      </w:tblGrid>
      <w:tr w:rsidR="00F5603B" w:rsidRPr="00195623" w:rsidTr="00680D13">
        <w:trPr>
          <w:trHeight w:val="556"/>
        </w:trPr>
        <w:tc>
          <w:tcPr>
            <w:tcW w:w="488" w:type="pct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GIT 1: Sustainable Fisheries</w:t>
            </w: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Blue Crab Abundance</w:t>
            </w:r>
          </w:p>
        </w:tc>
        <w:tc>
          <w:tcPr>
            <w:tcW w:w="885" w:type="pct"/>
            <w:vMerge w:val="restart"/>
            <w:shd w:val="clear" w:color="auto" w:fill="FFFFFF" w:themeFill="background1"/>
          </w:tcPr>
          <w:p w:rsidR="00717C81" w:rsidRPr="00195623" w:rsidRDefault="00717C81" w:rsidP="00F5603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22" w:hanging="18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Already a big gap between connecting water quality projections to habitats and fisheries (need cross-GIT approaches)</w:t>
            </w:r>
          </w:p>
          <w:p w:rsidR="00717C81" w:rsidRPr="00195623" w:rsidRDefault="00717C81" w:rsidP="00F5603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22" w:hanging="18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Require a look at cross-cutting and multi-stressor issues - multiple stressors may combine in non-linear ways</w:t>
            </w:r>
          </w:p>
          <w:p w:rsidR="00717C81" w:rsidRPr="00195623" w:rsidRDefault="00717C81" w:rsidP="00F5603B">
            <w:pPr>
              <w:pStyle w:val="ListParagraph"/>
              <w:numPr>
                <w:ilvl w:val="0"/>
                <w:numId w:val="11"/>
              </w:numPr>
              <w:spacing w:after="0" w:line="240" w:lineRule="auto"/>
              <w:ind w:left="222" w:hanging="18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proofErr w:type="spellStart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Phenological</w:t>
            </w:r>
            <w:proofErr w:type="spellEnd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issues – does it disrupt population/community dynamics - understanding life-stage specific effects</w:t>
            </w:r>
          </w:p>
        </w:tc>
        <w:tc>
          <w:tcPr>
            <w:tcW w:w="550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</w:t>
            </w:r>
          </w:p>
        </w:tc>
        <w:tc>
          <w:tcPr>
            <w:tcW w:w="547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Review current knowledge of climate effects on fisheries (range changes/effects on life stages)</w:t>
            </w:r>
          </w:p>
        </w:tc>
        <w:tc>
          <w:tcPr>
            <w:tcW w:w="976" w:type="pct"/>
            <w:vMerge w:val="restart"/>
            <w:shd w:val="clear" w:color="auto" w:fill="FFFFFF" w:themeFill="background1"/>
          </w:tcPr>
          <w:p w:rsidR="00717C81" w:rsidRPr="00195623" w:rsidRDefault="002869C7" w:rsidP="00E53A1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  <w:t xml:space="preserve"> </w:t>
            </w:r>
            <w:r w:rsidR="00717C81" w:rsidRPr="00195623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  <w:t>High potential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Can alter fisheries regulations to handle some </w:t>
            </w:r>
            <w:proofErr w:type="spellStart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phenological</w:t>
            </w:r>
            <w:proofErr w:type="spellEnd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changes (e.g., manage the spawning season)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Adapt restoration approaches (e.g., restored oysters placed into shallow water to avoid issues with stratification effects)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8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Creative solutions </w:t>
            </w:r>
            <w:r w:rsidR="00933BCB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exist </w:t>
            </w: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to adaptively manage</w:t>
            </w:r>
          </w:p>
          <w:p w:rsidR="00717C81" w:rsidRPr="00195623" w:rsidRDefault="002869C7" w:rsidP="002869C7">
            <w:pPr>
              <w:spacing w:after="0" w:line="240" w:lineRule="auto"/>
              <w:ind w:left="92" w:hanging="92"/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  <w:t xml:space="preserve"> </w:t>
            </w:r>
            <w:r w:rsidR="00717C81" w:rsidRPr="00195623">
              <w:rPr>
                <w:rFonts w:ascii="Times New Roman" w:eastAsia="Times New Roman" w:hAnsi="Times New Roman" w:cs="Times New Roman"/>
                <w:b/>
                <w:color w:val="000000" w:themeColor="dark1"/>
                <w:kern w:val="24"/>
                <w:sz w:val="20"/>
                <w:szCs w:val="20"/>
              </w:rPr>
              <w:t>Med potential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Habitat-friendly shoreline designs can be encouraged; living shoreline performance explained, but regulatory hurdles to innovative designs.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Manage land and shoreline management in the watershed (e.g., total impervious) to mitigate climate effects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BMPs can be adapted to mitigate climate effects</w:t>
            </w:r>
          </w:p>
          <w:p w:rsidR="00717C81" w:rsidRPr="00195623" w:rsidRDefault="00717C81" w:rsidP="00E53A11">
            <w:pPr>
              <w:pStyle w:val="ListParagraph"/>
              <w:numPr>
                <w:ilvl w:val="0"/>
                <w:numId w:val="10"/>
              </w:numPr>
              <w:spacing w:after="0" w:line="240" w:lineRule="auto"/>
              <w:ind w:left="452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Think at watershed scales, pick appropriate scale for management</w:t>
            </w:r>
          </w:p>
        </w:tc>
      </w:tr>
      <w:tr w:rsidR="00F5603B" w:rsidRPr="00195623" w:rsidTr="00680D13">
        <w:trPr>
          <w:trHeight w:val="376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2869C7" w:rsidP="002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Blue Crab Mgmt. </w:t>
            </w:r>
          </w:p>
        </w:tc>
        <w:tc>
          <w:tcPr>
            <w:tcW w:w="885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</w:t>
            </w:r>
          </w:p>
        </w:tc>
        <w:tc>
          <w:tcPr>
            <w:tcW w:w="547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F5603B" w:rsidRPr="00195623" w:rsidTr="00680D13">
        <w:trPr>
          <w:trHeight w:val="403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Oyster</w:t>
            </w:r>
          </w:p>
        </w:tc>
        <w:tc>
          <w:tcPr>
            <w:tcW w:w="885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717C81" w:rsidRPr="00DC1EC1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</w:t>
            </w:r>
          </w:p>
        </w:tc>
        <w:tc>
          <w:tcPr>
            <w:tcW w:w="547" w:type="pct"/>
            <w:shd w:val="clear" w:color="auto" w:fill="FFFFFF" w:themeFill="background1"/>
          </w:tcPr>
          <w:p w:rsidR="00717C81" w:rsidRPr="00DC1EC1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Invasive species/pathogens – understanding climate drivers and cross-interactions (salinity, temp, disease)</w:t>
            </w:r>
          </w:p>
        </w:tc>
        <w:tc>
          <w:tcPr>
            <w:tcW w:w="976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F5603B" w:rsidRPr="00195623" w:rsidTr="00680D13">
        <w:trPr>
          <w:trHeight w:val="430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Forage Fish</w:t>
            </w:r>
          </w:p>
        </w:tc>
        <w:tc>
          <w:tcPr>
            <w:tcW w:w="885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717C81" w:rsidRPr="00DC1EC1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</w:t>
            </w:r>
          </w:p>
        </w:tc>
        <w:tc>
          <w:tcPr>
            <w:tcW w:w="547" w:type="pct"/>
            <w:shd w:val="clear" w:color="auto" w:fill="FFFFFF" w:themeFill="background1"/>
          </w:tcPr>
          <w:p w:rsidR="00717C81" w:rsidRPr="00DC1EC1" w:rsidRDefault="00717C81" w:rsidP="00195623">
            <w:pPr>
              <w:tabs>
                <w:tab w:val="left" w:pos="1080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  <w:r w:rsidR="00195623"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ab/>
            </w:r>
          </w:p>
        </w:tc>
        <w:tc>
          <w:tcPr>
            <w:tcW w:w="1036" w:type="pct"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Temporal and spatial variability of climate effects on habitats for forage life stages</w:t>
            </w:r>
          </w:p>
        </w:tc>
        <w:tc>
          <w:tcPr>
            <w:tcW w:w="976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F5603B" w:rsidRPr="00195623" w:rsidTr="00680D13">
        <w:trPr>
          <w:trHeight w:val="466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Fish Habitat</w:t>
            </w:r>
          </w:p>
        </w:tc>
        <w:tc>
          <w:tcPr>
            <w:tcW w:w="885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717C81" w:rsidRPr="00DC1EC1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</w:t>
            </w:r>
          </w:p>
        </w:tc>
        <w:tc>
          <w:tcPr>
            <w:tcW w:w="547" w:type="pct"/>
            <w:shd w:val="clear" w:color="auto" w:fill="FFFFFF" w:themeFill="background1"/>
          </w:tcPr>
          <w:p w:rsidR="00717C81" w:rsidRPr="00DC1EC1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</w:p>
        </w:tc>
        <w:tc>
          <w:tcPr>
            <w:tcW w:w="1036" w:type="pct"/>
            <w:shd w:val="clear" w:color="auto" w:fill="FFFFFF" w:themeFill="background1"/>
          </w:tcPr>
          <w:p w:rsid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Shoreline change monitoring</w:t>
            </w:r>
          </w:p>
          <w:p w:rsidR="00195623" w:rsidRPr="00195623" w:rsidRDefault="00195623" w:rsidP="001956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5623" w:rsidRPr="00195623" w:rsidRDefault="00195623" w:rsidP="001956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195623" w:rsidRDefault="00195623" w:rsidP="00195623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  <w:p w:rsidR="00717C81" w:rsidRPr="00195623" w:rsidRDefault="00717C81" w:rsidP="00195623">
            <w:pPr>
              <w:ind w:firstLine="72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976" w:type="pct"/>
            <w:vMerge/>
            <w:shd w:val="clear" w:color="auto" w:fill="FFFFFF" w:themeFill="background1"/>
          </w:tcPr>
          <w:p w:rsidR="00717C81" w:rsidRPr="00195623" w:rsidRDefault="00717C81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376"/>
        </w:trPr>
        <w:tc>
          <w:tcPr>
            <w:tcW w:w="488" w:type="pct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GIT 2: Vital Habitats</w:t>
            </w: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Wetlands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(non-tidal) - medium</w:t>
            </w:r>
          </w:p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(tidal) - high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(non-tidal) – Poor</w:t>
            </w:r>
          </w:p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(tidal) - Excellent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(non-tidal) – Need to better link precipitation with de-nitrification; that is, link hydrological patterns to wetland function. </w:t>
            </w:r>
          </w:p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(tidal) – how will </w:t>
            </w:r>
            <w:r w:rsidR="00933BCB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climate change </w:t>
            </w: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facilitate invasive species</w:t>
            </w: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475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Black Duck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black duck select Chesapeake bay due to habitat but food source will change due to climate change and migration patterns may also change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High 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Need to assess </w:t>
            </w:r>
            <w:r w:rsidR="000479ED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“high marsh habitat condition”; </w:t>
            </w: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need to map </w:t>
            </w:r>
            <w:r w:rsidR="000479ED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habitat</w:t>
            </w: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475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Stream Health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Climate Change impacts functional pyramid; urban runoff; subsidence may change flow and source for stream; recurrent flooding will increase run off; saturated earth will increase failure of low-buried urban infrastructure such as sewerage and oil lines, which are already aging.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 (with uncertainty)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466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Brook Trout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Dry streams and temperature change impact food.  New temp ranges puts Brook Trout into competition with other species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High 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Fair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</w:t>
            </w:r>
            <w:r w:rsidR="000479ED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ow sensitive are species to temperature change?</w:t>
            </w: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What</w:t>
            </w:r>
            <w:r w:rsid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conservation strategies will </w:t>
            </w:r>
            <w:bookmarkStart w:id="0" w:name="_GoBack"/>
            <w:bookmarkEnd w:id="0"/>
            <w:r w:rsidR="000479ED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work? </w:t>
            </w: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466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0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Fish Passage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Climate change may impact the effectiveness of fish passage projects in mitigation or conditioning the health of the Bay environment (e.g., opening dams; stranding and low-flow events)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Medium-Low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Excellent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E53A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376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163EB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Submerged Aquatic Veg.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  <w:highlight w:val="yellow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Increase SLR implies increased hardening shoreline implies decrease eelgrass; eelgrass in saltwater tolerant; when eelgrass disappears this means change in sheltering and food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DC1EC1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DC1EC1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Excellent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331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0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Forest Buffer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Climate change may impact the effectiveness of forest buffers in mitigating or conditioning the health of the Bay environment.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Medium-High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Fair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41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41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35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0479E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Tree Canopy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0479ED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Climate change may impact the effectiveness of tree canopy in mitigating or conditioning the health of the Bay environment.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Medium-Low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Fair</w:t>
            </w:r>
          </w:p>
        </w:tc>
        <w:tc>
          <w:tcPr>
            <w:tcW w:w="103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2275"/>
        </w:trPr>
        <w:tc>
          <w:tcPr>
            <w:tcW w:w="488" w:type="pct"/>
            <w:vMerge w:val="restar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GIT 3: Water Quality</w:t>
            </w: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2869C7" w:rsidP="002869C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2017 WIP Outcome</w:t>
            </w:r>
            <w:r w:rsidR="000479ED"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Low</w:t>
            </w:r>
          </w:p>
          <w:p w:rsidR="000479ED" w:rsidRPr="00195623" w:rsidRDefault="000479ED" w:rsidP="000F5759">
            <w:pPr>
              <w:tabs>
                <w:tab w:val="left" w:pos="1050"/>
              </w:tabs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547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</w:p>
        </w:tc>
        <w:tc>
          <w:tcPr>
            <w:tcW w:w="1036" w:type="pct"/>
            <w:shd w:val="clear" w:color="auto" w:fill="FFFFFF" w:themeFill="background1"/>
          </w:tcPr>
          <w:p w:rsidR="000479ED" w:rsidRPr="00195623" w:rsidRDefault="000479ED" w:rsidP="000479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35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How do climate change concerns drive behavioral changes that impact water quality</w:t>
            </w:r>
          </w:p>
          <w:p w:rsidR="000479ED" w:rsidRPr="00195623" w:rsidRDefault="000479ED" w:rsidP="0041152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53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Investigate impacts on increasing irrigation/drainage (flows, fluxes, land subsidence)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35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Climate impacts on crop rotation and disease pressure. Changes in these may impact recommended BMPs and then there is a need to assess and evaluate the effectiveness of recommended BMPs that may need to/have been adapted to address a new climate reality.</w:t>
            </w:r>
          </w:p>
        </w:tc>
        <w:tc>
          <w:tcPr>
            <w:tcW w:w="976" w:type="pct"/>
            <w:shd w:val="clear" w:color="auto" w:fill="FFFFFF" w:themeFill="background1"/>
          </w:tcPr>
          <w:p w:rsidR="000479ED" w:rsidRPr="00195623" w:rsidRDefault="000479ED" w:rsidP="0041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538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2025 WIP Outcome</w:t>
            </w:r>
          </w:p>
        </w:tc>
        <w:tc>
          <w:tcPr>
            <w:tcW w:w="885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Medium (uncertainty about how stakeholders will respond to uncertainty about climate change and adaptation to climate change)</w:t>
            </w:r>
          </w:p>
        </w:tc>
        <w:tc>
          <w:tcPr>
            <w:tcW w:w="547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</w:t>
            </w:r>
          </w:p>
        </w:tc>
        <w:tc>
          <w:tcPr>
            <w:tcW w:w="1036" w:type="pct"/>
            <w:shd w:val="clear" w:color="auto" w:fill="FFFFFF" w:themeFill="background1"/>
          </w:tcPr>
          <w:p w:rsidR="000479ED" w:rsidRPr="00195623" w:rsidRDefault="000479ED" w:rsidP="000479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35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Design and function of BMPs under new climate reality (i.e. larger, more frequent storm events)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335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Need to develop BMP implementation guidelines that are outcome oriented rather than focused on meeting specific target dates or implementation milestones</w:t>
            </w:r>
          </w:p>
        </w:tc>
        <w:tc>
          <w:tcPr>
            <w:tcW w:w="976" w:type="pct"/>
            <w:shd w:val="clear" w:color="auto" w:fill="FFFFFF" w:themeFill="background1"/>
          </w:tcPr>
          <w:p w:rsidR="000479ED" w:rsidRPr="00195623" w:rsidRDefault="000479ED" w:rsidP="0041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1D2CD2" w:rsidRPr="00195623" w:rsidTr="00680D13">
        <w:trPr>
          <w:trHeight w:val="880"/>
        </w:trPr>
        <w:tc>
          <w:tcPr>
            <w:tcW w:w="488" w:type="pct"/>
            <w:vMerge/>
            <w:shd w:val="clear" w:color="auto" w:fill="FFFFFF" w:themeFill="background1"/>
            <w:vAlign w:val="center"/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shd w:val="clear" w:color="auto" w:fill="FFFFFF" w:themeFill="background1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Water Quality Standards Attainment and Monitoring</w:t>
            </w:r>
          </w:p>
        </w:tc>
        <w:tc>
          <w:tcPr>
            <w:tcW w:w="885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 (longer term) (Uncertainty about BMP functionality under and altered climate regime and uncertainty about behavior, e.g. changing crop rotations, increase irrigation/drainage, changing development patterns)</w:t>
            </w:r>
          </w:p>
        </w:tc>
        <w:tc>
          <w:tcPr>
            <w:tcW w:w="547" w:type="pct"/>
            <w:shd w:val="clear" w:color="auto" w:fill="FFFFFF" w:themeFill="background1"/>
          </w:tcPr>
          <w:p w:rsidR="000479ED" w:rsidRPr="00195623" w:rsidRDefault="000479ED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Poor (lack of clarity on how/if BMPs called for on WIPs will function as intended.  This uncertainty is present at multiple scales from field to watershed)</w:t>
            </w:r>
          </w:p>
        </w:tc>
        <w:tc>
          <w:tcPr>
            <w:tcW w:w="1036" w:type="pct"/>
            <w:shd w:val="clear" w:color="auto" w:fill="FFFFFF" w:themeFill="background1"/>
          </w:tcPr>
          <w:p w:rsidR="000479ED" w:rsidRPr="00195623" w:rsidRDefault="000479ED" w:rsidP="000479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4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Need for scoping studies that take a given climate scenario forecast and examine consequences of alternate behavioral (management) scenarios.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4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Continually reassess/reprioritize monitoring schemes to ensure that monitoring considers climate change reality.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4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Need for more, higher resolution (in both space and time) monitoring, especially characterizing the impact of larger magnitude events.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4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Investigate impact of intensifying animal agriculture in the context of climate change (e.g., higher temps will require more ventilation for poultry operation; how will this impact loads from emissions.</w:t>
            </w:r>
          </w:p>
          <w:p w:rsidR="000479ED" w:rsidRPr="00195623" w:rsidRDefault="000479ED" w:rsidP="000479ED">
            <w:pPr>
              <w:pStyle w:val="ListParagraph"/>
              <w:numPr>
                <w:ilvl w:val="0"/>
                <w:numId w:val="7"/>
              </w:numPr>
              <w:spacing w:after="0" w:line="240" w:lineRule="auto"/>
              <w:ind w:left="344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High resolution analysis of change at various scales across systems.</w:t>
            </w:r>
          </w:p>
        </w:tc>
        <w:tc>
          <w:tcPr>
            <w:tcW w:w="976" w:type="pct"/>
            <w:shd w:val="clear" w:color="auto" w:fill="FFFFFF" w:themeFill="background1"/>
          </w:tcPr>
          <w:p w:rsidR="000479ED" w:rsidRPr="00195623" w:rsidRDefault="000479ED" w:rsidP="0041152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</w:tr>
      <w:tr w:rsidR="00721CF7" w:rsidRPr="00195623" w:rsidTr="00680D13">
        <w:trPr>
          <w:trHeight w:val="2590"/>
        </w:trPr>
        <w:tc>
          <w:tcPr>
            <w:tcW w:w="488" w:type="pct"/>
            <w:vMerge w:val="restart"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GIT 4: Healthy Watersheds</w:t>
            </w:r>
          </w:p>
        </w:tc>
        <w:tc>
          <w:tcPr>
            <w:tcW w:w="518" w:type="pct"/>
            <w:vMerge w:val="restart"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Healthy Waters Outcome</w:t>
            </w: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</w:t>
            </w: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933BCB">
            <w:pPr>
              <w:pStyle w:val="ListParagraph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933BCB" w:rsidRPr="00195623" w:rsidRDefault="00933BCB" w:rsidP="00933BC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General comments:</w:t>
            </w:r>
          </w:p>
          <w:p w:rsidR="00933BCB" w:rsidRPr="00195623" w:rsidRDefault="00933BCB" w:rsidP="00933BC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Productive </w:t>
            </w:r>
            <w:proofErr w:type="gramStart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ag</w:t>
            </w:r>
            <w:proofErr w:type="gramEnd"/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 part of a healthy watershed.  </w:t>
            </w:r>
          </w:p>
          <w:p w:rsidR="00933BCB" w:rsidRPr="00195623" w:rsidRDefault="00933BCB" w:rsidP="00933BCB">
            <w:pPr>
              <w:pStyle w:val="ListParagraph"/>
              <w:numPr>
                <w:ilvl w:val="0"/>
                <w:numId w:val="13"/>
              </w:numPr>
              <w:spacing w:after="0" w:line="240" w:lineRule="auto"/>
              <w:ind w:left="360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 xml:space="preserve">Mgmt. opportunity to moderate is low and all a matter of scale.  </w:t>
            </w:r>
          </w:p>
          <w:p w:rsidR="00721CF7" w:rsidRPr="00195623" w:rsidRDefault="00933BCB" w:rsidP="00933BCB">
            <w:pPr>
              <w:pStyle w:val="ListParagraph"/>
              <w:numPr>
                <w:ilvl w:val="0"/>
                <w:numId w:val="13"/>
              </w:numPr>
              <w:ind w:left="362" w:hanging="270"/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Stream and wetlands are indicators of healthy watersheds.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E53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Temperature (urban) - Assumption was that temperature was going to increase.  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Low vulnerability because urban temperature signature overwhelms what we get from the natural system  </w:t>
            </w: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General (not climate impact specific):</w:t>
            </w:r>
          </w:p>
          <w:p w:rsidR="00721CF7" w:rsidRPr="00195623" w:rsidRDefault="00721CF7" w:rsidP="002869C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3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Ground and surface water interaction.</w:t>
            </w:r>
          </w:p>
          <w:p w:rsidR="00721CF7" w:rsidRPr="00195623" w:rsidRDefault="00721CF7" w:rsidP="002869C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3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Small scale watershed monitoring</w:t>
            </w:r>
          </w:p>
          <w:p w:rsidR="00721CF7" w:rsidRPr="00195623" w:rsidRDefault="00721CF7" w:rsidP="002869C7">
            <w:pPr>
              <w:pStyle w:val="ListParagraph"/>
              <w:numPr>
                <w:ilvl w:val="0"/>
                <w:numId w:val="12"/>
              </w:numPr>
              <w:spacing w:after="0" w:line="240" w:lineRule="auto"/>
              <w:ind w:left="353" w:hanging="270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  <w:r w:rsidRPr="00195623"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  <w:t>Link between management and system response</w:t>
            </w: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274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Increases in shading, diminish urban E dial, surface water, etc.  There is </w:t>
            </w:r>
            <w:r w:rsidR="00933BCB"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an </w:t>
            </w: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ability to manage the landscape to reduce the vulnerability.  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E53A1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Temperature (rural) - Forest health (canopy changes) and an element in overall watershed health.  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274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Increase stream </w:t>
            </w:r>
            <w:proofErr w:type="gramStart"/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shading,</w:t>
            </w:r>
            <w:proofErr w:type="gramEnd"/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 improve cold water habitats in upland systems.  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55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Precipitation:  Seasonality (urban) 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93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Retrofit streams (expand floodplain), reduce flooding frequency, moderating peak flows.  High mitigation</w:t>
            </w:r>
            <w:r w:rsidR="00933BCB"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 i</w:t>
            </w: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ncrease would have high impact on aquatic ecosystem health.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55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Precipitation:  Seasonality </w:t>
            </w:r>
            <w:r w:rsidRPr="001956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(rural)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933BC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Modest – A</w:t>
            </w:r>
            <w:r w:rsidR="00933BCB"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g </w:t>
            </w: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 xml:space="preserve">BMP implementation (edge of field practices) and scale </w:t>
            </w:r>
            <w:r w:rsidRPr="0019562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of watersheds is increase as you move towards rural systems. Capacity to make a difference is better in smaller watersheds but as you scale up, there is less. Negative - drainage in winter and irrigation in summer. 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55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Rainfall intensity bigger in urban.  Increase intensity in warm weather.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274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Retention and infiltration</w:t>
            </w: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332FA4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Rainfall intensity (rural) – little more capacity to manage.  Timing matters.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274377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21CF7" w:rsidRPr="00195623" w:rsidTr="00680D13">
        <w:trPr>
          <w:trHeight w:val="448"/>
        </w:trPr>
        <w:tc>
          <w:tcPr>
            <w:tcW w:w="488" w:type="pct"/>
            <w:vMerge/>
            <w:shd w:val="clear" w:color="auto" w:fill="F2F2F2" w:themeFill="background1" w:themeFillShade="F2"/>
            <w:vAlign w:val="center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" w:type="pct"/>
            <w:vMerge/>
            <w:shd w:val="clear" w:color="auto" w:fill="F2F2F2" w:themeFill="background1" w:themeFillShade="F2"/>
            <w:tcMar>
              <w:top w:w="72" w:type="dxa"/>
              <w:left w:w="144" w:type="dxa"/>
              <w:bottom w:w="72" w:type="dxa"/>
              <w:right w:w="144" w:type="dxa"/>
            </w:tcMar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885" w:type="pct"/>
            <w:shd w:val="clear" w:color="auto" w:fill="F2F2F2" w:themeFill="background1" w:themeFillShade="F2"/>
          </w:tcPr>
          <w:p w:rsidR="00721CF7" w:rsidRPr="00195623" w:rsidRDefault="00721CF7" w:rsidP="0055424B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Sea Level Rise –mainly coastal</w:t>
            </w:r>
          </w:p>
        </w:tc>
        <w:tc>
          <w:tcPr>
            <w:tcW w:w="550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547" w:type="pct"/>
            <w:shd w:val="clear" w:color="auto" w:fill="F2F2F2" w:themeFill="background1" w:themeFillShade="F2"/>
          </w:tcPr>
          <w:p w:rsidR="00721CF7" w:rsidRPr="00195623" w:rsidRDefault="00721CF7" w:rsidP="00D87A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1036" w:type="pct"/>
            <w:shd w:val="clear" w:color="auto" w:fill="F2F2F2" w:themeFill="background1" w:themeFillShade="F2"/>
          </w:tcPr>
          <w:p w:rsidR="00721CF7" w:rsidRPr="00195623" w:rsidRDefault="00721CF7" w:rsidP="00BB336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dark1"/>
                <w:kern w:val="24"/>
                <w:sz w:val="20"/>
                <w:szCs w:val="20"/>
              </w:rPr>
            </w:pPr>
          </w:p>
        </w:tc>
        <w:tc>
          <w:tcPr>
            <w:tcW w:w="976" w:type="pct"/>
            <w:shd w:val="clear" w:color="auto" w:fill="F2F2F2" w:themeFill="background1" w:themeFillShade="F2"/>
          </w:tcPr>
          <w:p w:rsidR="00721CF7" w:rsidRPr="00195623" w:rsidRDefault="00721CF7" w:rsidP="0027437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95623">
              <w:rPr>
                <w:rFonts w:ascii="Times New Roman" w:hAnsi="Times New Roman" w:cs="Times New Roman"/>
                <w:sz w:val="20"/>
                <w:szCs w:val="20"/>
              </w:rPr>
              <w:t>No mitigation options</w:t>
            </w:r>
          </w:p>
        </w:tc>
      </w:tr>
    </w:tbl>
    <w:p w:rsidR="00DD6C25" w:rsidRPr="00195623" w:rsidRDefault="00DD6C25">
      <w:pPr>
        <w:rPr>
          <w:rFonts w:ascii="Times New Roman" w:hAnsi="Times New Roman" w:cs="Times New Roman"/>
          <w:sz w:val="20"/>
          <w:szCs w:val="20"/>
        </w:rPr>
      </w:pPr>
    </w:p>
    <w:sectPr w:rsidR="00DD6C25" w:rsidRPr="00195623" w:rsidSect="00163EB7">
      <w:headerReference w:type="default" r:id="rId8"/>
      <w:footerReference w:type="default" r:id="rId9"/>
      <w:pgSz w:w="15840" w:h="12240" w:orient="landscape"/>
      <w:pgMar w:top="1170" w:right="1440" w:bottom="810" w:left="15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30AD" w:rsidRDefault="000A30AD" w:rsidP="004E3479">
      <w:pPr>
        <w:spacing w:after="0" w:line="240" w:lineRule="auto"/>
      </w:pPr>
      <w:r>
        <w:separator/>
      </w:r>
    </w:p>
  </w:endnote>
  <w:endnote w:type="continuationSeparator" w:id="0">
    <w:p w:rsidR="000A30AD" w:rsidRDefault="000A30AD" w:rsidP="004E34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519773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33BCB" w:rsidRDefault="00933BCB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C1EC1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933BCB" w:rsidRDefault="00933BC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30AD" w:rsidRDefault="000A30AD" w:rsidP="004E3479">
      <w:pPr>
        <w:spacing w:after="0" w:line="240" w:lineRule="auto"/>
      </w:pPr>
      <w:r>
        <w:separator/>
      </w:r>
    </w:p>
  </w:footnote>
  <w:footnote w:type="continuationSeparator" w:id="0">
    <w:p w:rsidR="000A30AD" w:rsidRDefault="000A30AD" w:rsidP="004E34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666" w:type="pct"/>
      <w:tblInd w:w="-846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  <w:shd w:val="clear" w:color="auto" w:fill="FFFFFF" w:themeFill="background1"/>
      <w:tblLayout w:type="fixed"/>
      <w:tblCellMar>
        <w:left w:w="0" w:type="dxa"/>
        <w:right w:w="0" w:type="dxa"/>
      </w:tblCellMar>
      <w:tblLook w:val="0420" w:firstRow="1" w:lastRow="0" w:firstColumn="0" w:lastColumn="0" w:noHBand="0" w:noVBand="1"/>
    </w:tblPr>
    <w:tblGrid>
      <w:gridCol w:w="1441"/>
      <w:gridCol w:w="1529"/>
      <w:gridCol w:w="2612"/>
      <w:gridCol w:w="1623"/>
      <w:gridCol w:w="1615"/>
      <w:gridCol w:w="3061"/>
      <w:gridCol w:w="2878"/>
    </w:tblGrid>
    <w:tr w:rsidR="00933BCB" w:rsidRPr="000479ED" w:rsidTr="00195623">
      <w:trPr>
        <w:trHeight w:val="1078"/>
      </w:trPr>
      <w:tc>
        <w:tcPr>
          <w:tcW w:w="488" w:type="pct"/>
          <w:shd w:val="clear" w:color="auto" w:fill="D9D9D9" w:themeFill="background1" w:themeFillShade="D9"/>
          <w:tcMar>
            <w:top w:w="72" w:type="dxa"/>
            <w:left w:w="144" w:type="dxa"/>
            <w:bottom w:w="72" w:type="dxa"/>
            <w:right w:w="144" w:type="dxa"/>
          </w:tcMar>
          <w:hideMark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Goal</w:t>
          </w:r>
        </w:p>
      </w:tc>
      <w:tc>
        <w:tcPr>
          <w:tcW w:w="518" w:type="pct"/>
          <w:shd w:val="clear" w:color="auto" w:fill="D9D9D9" w:themeFill="background1" w:themeFillShade="D9"/>
          <w:tcMar>
            <w:top w:w="72" w:type="dxa"/>
            <w:left w:w="144" w:type="dxa"/>
            <w:bottom w:w="72" w:type="dxa"/>
            <w:right w:w="144" w:type="dxa"/>
          </w:tcMar>
          <w:hideMark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Outcome</w:t>
          </w:r>
        </w:p>
      </w:tc>
      <w:tc>
        <w:tcPr>
          <w:tcW w:w="885" w:type="pct"/>
          <w:shd w:val="clear" w:color="auto" w:fill="D9D9D9" w:themeFill="background1" w:themeFillShade="D9"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Ecological Impacts of “Most Concern” to Resources Management by the Chesapeake Bay Program</w:t>
          </w:r>
        </w:p>
      </w:tc>
      <w:tc>
        <w:tcPr>
          <w:tcW w:w="550" w:type="pct"/>
          <w:shd w:val="clear" w:color="auto" w:fill="D9D9D9" w:themeFill="background1" w:themeFillShade="D9"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Factor of risk (</w:t>
          </w:r>
          <w:r w:rsid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L, M, H</w:t>
          </w: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) in terms of the influence of impact on “goal attainment.”</w:t>
          </w:r>
        </w:p>
      </w:tc>
      <w:tc>
        <w:tcPr>
          <w:tcW w:w="547" w:type="pct"/>
          <w:shd w:val="clear" w:color="auto" w:fill="D9D9D9" w:themeFill="background1" w:themeFillShade="D9"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Assess Scientific Understanding of Ecological Impact and Adequacy of Monitoring</w:t>
          </w:r>
        </w:p>
      </w:tc>
      <w:tc>
        <w:tcPr>
          <w:tcW w:w="1037" w:type="pct"/>
          <w:shd w:val="clear" w:color="auto" w:fill="D9D9D9" w:themeFill="background1" w:themeFillShade="D9"/>
        </w:tcPr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</w:p>
        <w:p w:rsidR="00933BCB" w:rsidRPr="00195623" w:rsidRDefault="00933BCB" w:rsidP="00195623">
          <w:pPr>
            <w:spacing w:after="0" w:line="240" w:lineRule="auto"/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  <w:r w:rsidRPr="00195623"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  <w:t>Identify Research Needs</w:t>
          </w:r>
        </w:p>
      </w:tc>
      <w:tc>
        <w:tcPr>
          <w:tcW w:w="975" w:type="pct"/>
          <w:shd w:val="clear" w:color="auto" w:fill="D9D9D9" w:themeFill="background1" w:themeFillShade="D9"/>
        </w:tcPr>
        <w:p w:rsidR="00933BCB" w:rsidRPr="00195623" w:rsidRDefault="00933BCB" w:rsidP="00195623">
          <w:pPr>
            <w:jc w:val="center"/>
            <w:rPr>
              <w:rFonts w:ascii="Times New Roman" w:eastAsia="Times New Roman" w:hAnsi="Times New Roman" w:cs="Times New Roman"/>
              <w:b/>
              <w:bCs/>
              <w:color w:val="000000" w:themeColor="text1"/>
              <w:kern w:val="24"/>
              <w:sz w:val="20"/>
              <w:szCs w:val="20"/>
            </w:rPr>
          </w:pPr>
          <w:r w:rsidRPr="00195623">
            <w:rPr>
              <w:rFonts w:ascii="Times New Roman" w:hAnsi="Times New Roman" w:cs="Times New Roman"/>
              <w:b/>
              <w:sz w:val="20"/>
              <w:szCs w:val="20"/>
            </w:rPr>
            <w:t>Responsiveness to changes in management techniques</w:t>
          </w:r>
        </w:p>
      </w:tc>
    </w:tr>
  </w:tbl>
  <w:p w:rsidR="00933BCB" w:rsidRDefault="00933BCB" w:rsidP="0019562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4C714A"/>
    <w:multiLevelType w:val="hybridMultilevel"/>
    <w:tmpl w:val="0BD0AC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5952DD"/>
    <w:multiLevelType w:val="hybridMultilevel"/>
    <w:tmpl w:val="EC1C86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9E41BE"/>
    <w:multiLevelType w:val="hybridMultilevel"/>
    <w:tmpl w:val="A2A64F0A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35703F1D"/>
    <w:multiLevelType w:val="hybridMultilevel"/>
    <w:tmpl w:val="0464E8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F7A6573"/>
    <w:multiLevelType w:val="hybridMultilevel"/>
    <w:tmpl w:val="7B1C7B24"/>
    <w:lvl w:ilvl="0" w:tplc="04090001">
      <w:start w:val="1"/>
      <w:numFmt w:val="bullet"/>
      <w:lvlText w:val=""/>
      <w:lvlJc w:val="left"/>
      <w:pPr>
        <w:ind w:left="63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4" w:hanging="360"/>
      </w:pPr>
      <w:rPr>
        <w:rFonts w:ascii="Wingdings" w:hAnsi="Wingdings" w:hint="default"/>
      </w:rPr>
    </w:lvl>
  </w:abstractNum>
  <w:abstractNum w:abstractNumId="5">
    <w:nsid w:val="45CC5780"/>
    <w:multiLevelType w:val="hybridMultilevel"/>
    <w:tmpl w:val="3B80EC1C"/>
    <w:lvl w:ilvl="0" w:tplc="6BA6548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8995A1D"/>
    <w:multiLevelType w:val="hybridMultilevel"/>
    <w:tmpl w:val="C02E153A"/>
    <w:lvl w:ilvl="0" w:tplc="6BA6548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D5E5B1B"/>
    <w:multiLevelType w:val="hybridMultilevel"/>
    <w:tmpl w:val="AF281512"/>
    <w:lvl w:ilvl="0" w:tplc="6BA65486">
      <w:start w:val="1"/>
      <w:numFmt w:val="bullet"/>
      <w:lvlText w:val="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80B3049"/>
    <w:multiLevelType w:val="hybridMultilevel"/>
    <w:tmpl w:val="CC36F038"/>
    <w:lvl w:ilvl="0" w:tplc="4294B6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F5BE1"/>
    <w:multiLevelType w:val="hybridMultilevel"/>
    <w:tmpl w:val="41E0BF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2335BB6"/>
    <w:multiLevelType w:val="hybridMultilevel"/>
    <w:tmpl w:val="C7EC59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DD8095F"/>
    <w:multiLevelType w:val="hybridMultilevel"/>
    <w:tmpl w:val="FAB2076E"/>
    <w:lvl w:ilvl="0" w:tplc="69E4E7D2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0B4D1C"/>
    <w:multiLevelType w:val="hybridMultilevel"/>
    <w:tmpl w:val="F6D4EA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1"/>
  </w:num>
  <w:num w:numId="3">
    <w:abstractNumId w:val="5"/>
  </w:num>
  <w:num w:numId="4">
    <w:abstractNumId w:val="7"/>
  </w:num>
  <w:num w:numId="5">
    <w:abstractNumId w:val="6"/>
  </w:num>
  <w:num w:numId="6">
    <w:abstractNumId w:val="1"/>
  </w:num>
  <w:num w:numId="7">
    <w:abstractNumId w:val="0"/>
  </w:num>
  <w:num w:numId="8">
    <w:abstractNumId w:val="2"/>
  </w:num>
  <w:num w:numId="9">
    <w:abstractNumId w:val="9"/>
  </w:num>
  <w:num w:numId="10">
    <w:abstractNumId w:val="4"/>
  </w:num>
  <w:num w:numId="11">
    <w:abstractNumId w:val="12"/>
  </w:num>
  <w:num w:numId="12">
    <w:abstractNumId w:val="3"/>
  </w:num>
  <w:num w:numId="1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7A5A"/>
    <w:rsid w:val="00031A62"/>
    <w:rsid w:val="000479ED"/>
    <w:rsid w:val="00082894"/>
    <w:rsid w:val="000A30AD"/>
    <w:rsid w:val="000F5759"/>
    <w:rsid w:val="00163EB7"/>
    <w:rsid w:val="00195623"/>
    <w:rsid w:val="001D2CD2"/>
    <w:rsid w:val="001E7E12"/>
    <w:rsid w:val="001F5213"/>
    <w:rsid w:val="0025229C"/>
    <w:rsid w:val="002869C7"/>
    <w:rsid w:val="00295295"/>
    <w:rsid w:val="002D3C14"/>
    <w:rsid w:val="00314A3B"/>
    <w:rsid w:val="00332FA4"/>
    <w:rsid w:val="00411525"/>
    <w:rsid w:val="004D119E"/>
    <w:rsid w:val="004E3479"/>
    <w:rsid w:val="005D176D"/>
    <w:rsid w:val="00680D13"/>
    <w:rsid w:val="00717C81"/>
    <w:rsid w:val="00721CF7"/>
    <w:rsid w:val="007C5E46"/>
    <w:rsid w:val="007D5718"/>
    <w:rsid w:val="008249AE"/>
    <w:rsid w:val="008606B9"/>
    <w:rsid w:val="00933BCB"/>
    <w:rsid w:val="00955E0F"/>
    <w:rsid w:val="009A260E"/>
    <w:rsid w:val="009C40FD"/>
    <w:rsid w:val="009D0A6C"/>
    <w:rsid w:val="00A56B33"/>
    <w:rsid w:val="00A668B3"/>
    <w:rsid w:val="00A70EC5"/>
    <w:rsid w:val="00A7653C"/>
    <w:rsid w:val="00BA6BD6"/>
    <w:rsid w:val="00BB3369"/>
    <w:rsid w:val="00BF798D"/>
    <w:rsid w:val="00C21469"/>
    <w:rsid w:val="00CE3BA1"/>
    <w:rsid w:val="00D613AD"/>
    <w:rsid w:val="00D61962"/>
    <w:rsid w:val="00D87A5A"/>
    <w:rsid w:val="00DB36B0"/>
    <w:rsid w:val="00DC1EC1"/>
    <w:rsid w:val="00DD6C25"/>
    <w:rsid w:val="00E53A11"/>
    <w:rsid w:val="00EE46E4"/>
    <w:rsid w:val="00F5603B"/>
    <w:rsid w:val="00FB6B4E"/>
    <w:rsid w:val="00FB719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7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79"/>
  </w:style>
  <w:style w:type="paragraph" w:styleId="Footer">
    <w:name w:val="footer"/>
    <w:basedOn w:val="Normal"/>
    <w:link w:val="FooterChar"/>
    <w:uiPriority w:val="99"/>
    <w:unhideWhenUsed/>
    <w:rsid w:val="004E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79"/>
  </w:style>
  <w:style w:type="paragraph" w:styleId="ListParagraph">
    <w:name w:val="List Paragraph"/>
    <w:basedOn w:val="Normal"/>
    <w:uiPriority w:val="34"/>
    <w:qFormat/>
    <w:rsid w:val="00BB33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D87A5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4E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E3479"/>
  </w:style>
  <w:style w:type="paragraph" w:styleId="Footer">
    <w:name w:val="footer"/>
    <w:basedOn w:val="Normal"/>
    <w:link w:val="FooterChar"/>
    <w:uiPriority w:val="99"/>
    <w:unhideWhenUsed/>
    <w:rsid w:val="004E347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E3479"/>
  </w:style>
  <w:style w:type="paragraph" w:styleId="ListParagraph">
    <w:name w:val="List Paragraph"/>
    <w:basedOn w:val="Normal"/>
    <w:uiPriority w:val="34"/>
    <w:qFormat/>
    <w:rsid w:val="00BB33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933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33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09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503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01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6</Pages>
  <Words>1044</Words>
  <Characters>5953</Characters>
  <Application>Microsoft Office Word</Application>
  <DocSecurity>0</DocSecurity>
  <Lines>49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NMFS NOAA</Company>
  <LinksUpToDate>false</LinksUpToDate>
  <CharactersWithSpaces>6984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Zoe.Johnson</dc:creator>
  <cp:lastModifiedBy>Zoe.Johnson</cp:lastModifiedBy>
  <cp:revision>5</cp:revision>
  <cp:lastPrinted>2016-01-04T19:28:00Z</cp:lastPrinted>
  <dcterms:created xsi:type="dcterms:W3CDTF">2016-01-04T19:26:00Z</dcterms:created>
  <dcterms:modified xsi:type="dcterms:W3CDTF">2016-01-11T17:54:00Z</dcterms:modified>
</cp:coreProperties>
</file>