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A8C7" w14:textId="77777777" w:rsidR="009915AA" w:rsidRDefault="009915AA" w:rsidP="62062391">
      <w:pPr>
        <w:spacing w:after="0"/>
        <w:rPr>
          <w:b/>
          <w:bCs/>
          <w:u w:val="single"/>
        </w:rPr>
      </w:pPr>
    </w:p>
    <w:p w14:paraId="420EFE44" w14:textId="67A76947" w:rsidR="00BC6C68" w:rsidRDefault="0080093A" w:rsidP="62062391">
      <w:pPr>
        <w:spacing w:after="0"/>
        <w:rPr>
          <w:b/>
          <w:bCs/>
        </w:rPr>
      </w:pPr>
      <w:r w:rsidRPr="62AB0ED0">
        <w:rPr>
          <w:b/>
          <w:bCs/>
        </w:rPr>
        <w:t>Outcome</w:t>
      </w:r>
    </w:p>
    <w:p w14:paraId="0AA539DC" w14:textId="1294A123" w:rsidR="4C47ECDF" w:rsidRDefault="4C47ECDF" w:rsidP="62AB0ED0">
      <w:pPr>
        <w:spacing w:after="0"/>
      </w:pPr>
      <w:r>
        <w:t>100 percent of state-identified currently healthy waters and watersheds remain healthy.</w:t>
      </w:r>
    </w:p>
    <w:p w14:paraId="362D694A" w14:textId="77777777" w:rsidR="00BC6C68" w:rsidRPr="00BC6C68" w:rsidRDefault="00BC6C68" w:rsidP="00BC6C68">
      <w:pPr>
        <w:spacing w:after="0"/>
        <w:rPr>
          <w:sz w:val="16"/>
          <w:szCs w:val="16"/>
        </w:rPr>
      </w:pPr>
    </w:p>
    <w:p w14:paraId="5470C9F8" w14:textId="62303007" w:rsidR="0080093A" w:rsidRDefault="0080093A" w:rsidP="00BC6C68">
      <w:pPr>
        <w:spacing w:after="0"/>
      </w:pPr>
      <w:r w:rsidRPr="62062391">
        <w:rPr>
          <w:b/>
          <w:bCs/>
        </w:rPr>
        <w:t>Status</w:t>
      </w:r>
    </w:p>
    <w:p w14:paraId="5BAB8CEF" w14:textId="4E42FEAA" w:rsidR="00DF5EF2" w:rsidRDefault="00236E8B" w:rsidP="00767620">
      <w:pPr>
        <w:spacing w:after="0"/>
      </w:pPr>
      <w:r>
        <w:t xml:space="preserve">The Healthy Watersheds Goal Implementation Team has developed the </w:t>
      </w:r>
      <w:hyperlink r:id="rId10">
        <w:r w:rsidRPr="4907D58B">
          <w:rPr>
            <w:rStyle w:val="Hyperlink"/>
          </w:rPr>
          <w:t>Chesapeake Healthy Watersheds Assessment</w:t>
        </w:r>
      </w:hyperlink>
      <w:r>
        <w:t xml:space="preserve"> framework to provide information on the current condition, level of protection </w:t>
      </w:r>
      <w:r w:rsidR="00436B34">
        <w:t xml:space="preserve">and whether or not watershed catchments are </w:t>
      </w:r>
      <w:r>
        <w:t>potentially vulnerable or resilient</w:t>
      </w:r>
      <w:r w:rsidR="00436B34">
        <w:t xml:space="preserve">. This helps jurisdictions to detect signals of change </w:t>
      </w:r>
      <w:r w:rsidR="00AF01CD">
        <w:t>in state-identified healthy watersheds and beyond</w:t>
      </w:r>
      <w:r w:rsidR="7DFB3C5E">
        <w:t xml:space="preserve"> (</w:t>
      </w:r>
      <w:r w:rsidR="004A6B5C">
        <w:t>provided</w:t>
      </w:r>
      <w:r w:rsidR="7DFB3C5E">
        <w:t xml:space="preserve"> the data to inform the assessment is updated over time)</w:t>
      </w:r>
      <w:r w:rsidR="00AF01CD">
        <w:t xml:space="preserve">. </w:t>
      </w:r>
      <w:r w:rsidR="00767620">
        <w:t>The Healthy Watersheds Outcome is currently uncertain</w:t>
      </w:r>
      <w:r w:rsidR="004A6B5C">
        <w:t>.</w:t>
      </w:r>
    </w:p>
    <w:p w14:paraId="681BA21F" w14:textId="77777777" w:rsidR="00BC6C68" w:rsidRPr="00BC6C68" w:rsidRDefault="00BC6C68" w:rsidP="00BC6C68">
      <w:pPr>
        <w:spacing w:after="0"/>
        <w:rPr>
          <w:sz w:val="16"/>
          <w:szCs w:val="16"/>
        </w:rPr>
      </w:pPr>
    </w:p>
    <w:p w14:paraId="1DA90AC3" w14:textId="64EA7003" w:rsidR="00131B54" w:rsidRPr="00BC6C68" w:rsidRDefault="0080093A" w:rsidP="00BC6C68">
      <w:pPr>
        <w:spacing w:after="0"/>
        <w:rPr>
          <w:b/>
          <w:bCs/>
          <w:iCs/>
        </w:rPr>
      </w:pPr>
      <w:r w:rsidRPr="00BC6C68">
        <w:rPr>
          <w:b/>
          <w:bCs/>
          <w:iCs/>
        </w:rPr>
        <w:t xml:space="preserve">What has </w:t>
      </w:r>
      <w:r w:rsidR="00131B54" w:rsidRPr="00BC6C68">
        <w:rPr>
          <w:b/>
          <w:bCs/>
          <w:iCs/>
        </w:rPr>
        <w:t>helped achieve success since 2014?</w:t>
      </w:r>
    </w:p>
    <w:p w14:paraId="74979E44" w14:textId="664CF57D" w:rsidR="0080093A" w:rsidRDefault="0080093A" w:rsidP="00BC6C68">
      <w:pPr>
        <w:spacing w:after="0"/>
        <w:rPr>
          <w:i/>
          <w:iCs/>
        </w:rPr>
      </w:pPr>
      <w:r w:rsidRPr="00BC6C68">
        <w:rPr>
          <w:i/>
          <w:iCs/>
        </w:rPr>
        <w:t>Mention key successes from 2014 to 2023</w:t>
      </w:r>
      <w:r w:rsidR="00131B54" w:rsidRPr="00BC6C68">
        <w:rPr>
          <w:i/>
          <w:iCs/>
        </w:rPr>
        <w:t>. No more than three-five bullet points.</w:t>
      </w:r>
    </w:p>
    <w:p w14:paraId="3172A191" w14:textId="77777777" w:rsidR="00BC6C68" w:rsidRPr="00BC6C68" w:rsidRDefault="00BC6C68" w:rsidP="00BC6C68">
      <w:pPr>
        <w:spacing w:after="0"/>
        <w:rPr>
          <w:i/>
          <w:iCs/>
          <w:sz w:val="16"/>
          <w:szCs w:val="16"/>
        </w:rPr>
      </w:pPr>
    </w:p>
    <w:p w14:paraId="353A0D87" w14:textId="6C68D2FA" w:rsidR="00760C09" w:rsidRDefault="00760C09" w:rsidP="62AB0ED0">
      <w:pPr>
        <w:pStyle w:val="ListParagraph"/>
        <w:numPr>
          <w:ilvl w:val="0"/>
          <w:numId w:val="7"/>
        </w:numPr>
        <w:spacing w:after="0"/>
      </w:pPr>
      <w:r>
        <w:t xml:space="preserve">The development of new data and tools </w:t>
      </w:r>
      <w:r w:rsidR="00043E8D">
        <w:t xml:space="preserve">that help </w:t>
      </w:r>
      <w:r w:rsidR="00327C58">
        <w:t>characterize</w:t>
      </w:r>
      <w:r w:rsidR="005003BA">
        <w:t xml:space="preserve"> and provide context for</w:t>
      </w:r>
      <w:r w:rsidR="00BE12F4">
        <w:t xml:space="preserve"> </w:t>
      </w:r>
      <w:r w:rsidR="0054161D">
        <w:t>healthy watersheds</w:t>
      </w:r>
      <w:r w:rsidR="00AB6A3B">
        <w:t xml:space="preserve">, such as the </w:t>
      </w:r>
      <w:hyperlink r:id="rId11" w:history="1">
        <w:r w:rsidR="00261AC0" w:rsidRPr="7EFBABCA">
          <w:rPr>
            <w:rStyle w:val="Hyperlink"/>
          </w:rPr>
          <w:t>Chesapeake Healthy Watersheds Assessment</w:t>
        </w:r>
      </w:hyperlink>
      <w:r w:rsidR="00B301F2" w:rsidRPr="7EFBABCA">
        <w:rPr>
          <w:rStyle w:val="Hyperlink"/>
        </w:rPr>
        <w:t xml:space="preserve">, </w:t>
      </w:r>
      <w:hyperlink r:id="rId12">
        <w:r w:rsidR="00CC7918" w:rsidRPr="7EFBABCA">
          <w:rPr>
            <w:rStyle w:val="Hyperlink"/>
          </w:rPr>
          <w:t xml:space="preserve">Chesapeake Bay </w:t>
        </w:r>
        <w:r w:rsidR="00AB6A3B" w:rsidRPr="7EFBABCA">
          <w:rPr>
            <w:rStyle w:val="Hyperlink"/>
          </w:rPr>
          <w:t>Phase 6 Land Use Viewer</w:t>
        </w:r>
      </w:hyperlink>
      <w:r w:rsidR="00AB6A3B">
        <w:t xml:space="preserve">, </w:t>
      </w:r>
      <w:hyperlink r:id="rId13">
        <w:r w:rsidR="00AB6A3B" w:rsidRPr="7EFBABCA">
          <w:rPr>
            <w:rStyle w:val="Hyperlink"/>
          </w:rPr>
          <w:t xml:space="preserve">Chesapeake </w:t>
        </w:r>
        <w:r w:rsidR="00DD5631" w:rsidRPr="7EFBABCA">
          <w:rPr>
            <w:rStyle w:val="Hyperlink"/>
          </w:rPr>
          <w:t xml:space="preserve">Bay Watershed </w:t>
        </w:r>
        <w:r w:rsidR="00AB6A3B" w:rsidRPr="7EFBABCA">
          <w:rPr>
            <w:rStyle w:val="Hyperlink"/>
          </w:rPr>
          <w:t>Data Dashboard</w:t>
        </w:r>
      </w:hyperlink>
      <w:r w:rsidR="00AB6A3B">
        <w:t xml:space="preserve">, </w:t>
      </w:r>
      <w:hyperlink r:id="rId14">
        <w:r w:rsidR="00012EA0" w:rsidRPr="7EFBABCA">
          <w:rPr>
            <w:rStyle w:val="Hyperlink"/>
          </w:rPr>
          <w:t>CBP Land Use/Land Cover Data Project</w:t>
        </w:r>
      </w:hyperlink>
      <w:r w:rsidR="00062C8C">
        <w:t>, Land Use Methods and Metrics indicators on impervious cover and change</w:t>
      </w:r>
      <w:r w:rsidR="009712A8">
        <w:t xml:space="preserve">, </w:t>
      </w:r>
      <w:r w:rsidR="00AB6A3B">
        <w:t xml:space="preserve">and the </w:t>
      </w:r>
      <w:hyperlink r:id="rId15">
        <w:r w:rsidR="000D02C4" w:rsidRPr="7EFBABCA">
          <w:rPr>
            <w:rStyle w:val="Hyperlink"/>
          </w:rPr>
          <w:t xml:space="preserve">Chesapeake Bay </w:t>
        </w:r>
        <w:r w:rsidR="00AB6A3B" w:rsidRPr="7EFBABCA">
          <w:rPr>
            <w:rStyle w:val="Hyperlink"/>
          </w:rPr>
          <w:t>Environmental Justice and Equity Dashboard</w:t>
        </w:r>
      </w:hyperlink>
      <w:r w:rsidR="00AB6A3B">
        <w:t xml:space="preserve">. </w:t>
      </w:r>
    </w:p>
    <w:p w14:paraId="14ABC67D" w14:textId="64363895" w:rsidR="00AB6A3B" w:rsidRDefault="00E930B3" w:rsidP="62AB0ED0">
      <w:pPr>
        <w:pStyle w:val="ListParagraph"/>
        <w:numPr>
          <w:ilvl w:val="0"/>
          <w:numId w:val="7"/>
        </w:numPr>
        <w:spacing w:after="0"/>
      </w:pPr>
      <w:r>
        <w:t xml:space="preserve">Projects that enhance focus on communications, such as the </w:t>
      </w:r>
      <w:hyperlink r:id="rId16" w:history="1">
        <w:r w:rsidR="00670E97" w:rsidRPr="00670E97">
          <w:rPr>
            <w:rStyle w:val="Hyperlink"/>
          </w:rPr>
          <w:t xml:space="preserve">Chesapeake </w:t>
        </w:r>
        <w:r w:rsidRPr="00670E97">
          <w:rPr>
            <w:rStyle w:val="Hyperlink"/>
          </w:rPr>
          <w:t>Forest Restoration Strategy</w:t>
        </w:r>
      </w:hyperlink>
      <w:r>
        <w:t xml:space="preserve">, </w:t>
      </w:r>
      <w:hyperlink r:id="rId17" w:history="1">
        <w:r w:rsidR="00484AAC" w:rsidRPr="00484AAC">
          <w:rPr>
            <w:rStyle w:val="Hyperlink"/>
          </w:rPr>
          <w:t xml:space="preserve">Conservation Land-Use </w:t>
        </w:r>
        <w:r w:rsidRPr="00484AAC">
          <w:rPr>
            <w:rStyle w:val="Hyperlink"/>
          </w:rPr>
          <w:t xml:space="preserve">Policy </w:t>
        </w:r>
        <w:r w:rsidR="00484AAC" w:rsidRPr="00484AAC">
          <w:rPr>
            <w:rStyle w:val="Hyperlink"/>
          </w:rPr>
          <w:t>Toolkit</w:t>
        </w:r>
      </w:hyperlink>
      <w:r>
        <w:t xml:space="preserve"> and </w:t>
      </w:r>
      <w:hyperlink r:id="rId18" w:history="1">
        <w:r w:rsidR="00985976" w:rsidRPr="00985976">
          <w:rPr>
            <w:rStyle w:val="Hyperlink"/>
          </w:rPr>
          <w:t>Resource Lands Assessment</w:t>
        </w:r>
      </w:hyperlink>
      <w:r>
        <w:t xml:space="preserve">. </w:t>
      </w:r>
    </w:p>
    <w:p w14:paraId="50BAE205" w14:textId="1F23A5B3" w:rsidR="00131B54" w:rsidRPr="00BC6C68" w:rsidRDefault="0023253A" w:rsidP="004954AA">
      <w:pPr>
        <w:pStyle w:val="ListParagraph"/>
        <w:numPr>
          <w:ilvl w:val="0"/>
          <w:numId w:val="7"/>
        </w:numPr>
        <w:spacing w:after="0"/>
      </w:pPr>
      <w:r>
        <w:t xml:space="preserve">Increasing knowledge at a local-scale through </w:t>
      </w:r>
      <w:r w:rsidR="004954AA">
        <w:t xml:space="preserve">the development of such tools as the </w:t>
      </w:r>
      <w:hyperlink r:id="rId19">
        <w:r w:rsidR="005F143D" w:rsidRPr="7EFBABCA">
          <w:rPr>
            <w:rStyle w:val="Hyperlink"/>
          </w:rPr>
          <w:t>Local Government Guide to the Chesapeake Bay</w:t>
        </w:r>
      </w:hyperlink>
      <w:r w:rsidR="004954AA">
        <w:t xml:space="preserve">, </w:t>
      </w:r>
      <w:hyperlink r:id="rId20">
        <w:r w:rsidR="7E1B7193" w:rsidRPr="7EFBABCA">
          <w:rPr>
            <w:rStyle w:val="Hyperlink"/>
          </w:rPr>
          <w:t>Improv</w:t>
        </w:r>
        <w:r w:rsidR="00251098" w:rsidRPr="7EFBABCA">
          <w:rPr>
            <w:rStyle w:val="Hyperlink"/>
          </w:rPr>
          <w:t>ed</w:t>
        </w:r>
        <w:r w:rsidR="7E1B7193" w:rsidRPr="7EFBABCA">
          <w:rPr>
            <w:rStyle w:val="Hyperlink"/>
          </w:rPr>
          <w:t xml:space="preserve"> Technical Service Delivery</w:t>
        </w:r>
        <w:r w:rsidR="006A0C86" w:rsidRPr="7EFBABCA">
          <w:rPr>
            <w:rStyle w:val="Hyperlink"/>
          </w:rPr>
          <w:t xml:space="preserve"> to</w:t>
        </w:r>
        <w:r w:rsidR="7E1B7193" w:rsidRPr="7EFBABCA">
          <w:rPr>
            <w:rStyle w:val="Hyperlink"/>
          </w:rPr>
          <w:t xml:space="preserve"> Landowners</w:t>
        </w:r>
      </w:hyperlink>
      <w:r w:rsidR="004954AA">
        <w:t xml:space="preserve">, </w:t>
      </w:r>
      <w:hyperlink r:id="rId21">
        <w:r w:rsidR="7E1B7193" w:rsidRPr="7EFBABCA">
          <w:rPr>
            <w:rStyle w:val="Hyperlink"/>
          </w:rPr>
          <w:t xml:space="preserve">Targeted </w:t>
        </w:r>
        <w:r w:rsidR="006F4198" w:rsidRPr="7EFBABCA">
          <w:rPr>
            <w:rStyle w:val="Hyperlink"/>
          </w:rPr>
          <w:t>Outreach for Green Infrastructure</w:t>
        </w:r>
      </w:hyperlink>
      <w:r w:rsidR="006F4198">
        <w:t xml:space="preserve">, </w:t>
      </w:r>
      <w:r w:rsidR="7E1B7193">
        <w:t>Chesapeake Watershed Finance Intensive</w:t>
      </w:r>
      <w:r w:rsidR="00572A06">
        <w:t xml:space="preserve"> workshops</w:t>
      </w:r>
      <w:r w:rsidR="004954AA">
        <w:t xml:space="preserve">, </w:t>
      </w:r>
      <w:hyperlink r:id="rId22">
        <w:r w:rsidR="7E1B7193" w:rsidRPr="7EFBABCA">
          <w:rPr>
            <w:rStyle w:val="Hyperlink"/>
          </w:rPr>
          <w:t>M</w:t>
        </w:r>
        <w:r w:rsidR="00602AF2" w:rsidRPr="7EFBABCA">
          <w:rPr>
            <w:rStyle w:val="Hyperlink"/>
          </w:rPr>
          <w:t>aryland Healthy Watershed Assessment</w:t>
        </w:r>
      </w:hyperlink>
      <w:r w:rsidR="004954AA">
        <w:t xml:space="preserve"> and the </w:t>
      </w:r>
      <w:r w:rsidR="00572A06">
        <w:t xml:space="preserve">automation of </w:t>
      </w:r>
      <w:r w:rsidR="7E1B7193">
        <w:t>Chesapeake Protected Lands data</w:t>
      </w:r>
      <w:r w:rsidR="004954AA">
        <w:t>.</w:t>
      </w:r>
    </w:p>
    <w:p w14:paraId="365D2094" w14:textId="24AC827D" w:rsidR="62AB0ED0" w:rsidRDefault="62AB0ED0" w:rsidP="62AB0ED0">
      <w:pPr>
        <w:spacing w:after="0"/>
      </w:pPr>
    </w:p>
    <w:p w14:paraId="451DA706" w14:textId="77777777" w:rsidR="00243527" w:rsidRDefault="00243527" w:rsidP="00BC6C68">
      <w:pPr>
        <w:spacing w:after="0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What challenges have hindered progress? </w:t>
      </w:r>
      <w:r>
        <w:rPr>
          <w:rStyle w:val="eop"/>
          <w:rFonts w:ascii="Calibri" w:hAnsi="Calibri" w:cs="Calibri"/>
          <w:color w:val="000000"/>
          <w:shd w:val="clear" w:color="auto" w:fill="FFFFFF"/>
        </w:rPr>
        <w:t> </w:t>
      </w:r>
    </w:p>
    <w:p w14:paraId="779F7A21" w14:textId="475B1D83" w:rsidR="0080093A" w:rsidRPr="00BC6C68" w:rsidRDefault="0080093A" w:rsidP="00BC6C68">
      <w:pPr>
        <w:spacing w:after="0"/>
        <w:rPr>
          <w:i/>
          <w:iCs/>
        </w:rPr>
      </w:pPr>
      <w:r w:rsidRPr="00BC6C68">
        <w:rPr>
          <w:i/>
          <w:iCs/>
        </w:rPr>
        <w:t>Mention key impediments to achieving the outcome by 2025.</w:t>
      </w:r>
      <w:r w:rsidR="002F4C2B" w:rsidRPr="00BC6C68">
        <w:rPr>
          <w:i/>
          <w:iCs/>
        </w:rPr>
        <w:t xml:space="preserve"> </w:t>
      </w:r>
    </w:p>
    <w:p w14:paraId="2DC1975B" w14:textId="77777777" w:rsidR="00555712" w:rsidRPr="00084E84" w:rsidRDefault="00555712" w:rsidP="00555712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 xml:space="preserve">The amount, type and way in which land use occurs is the biggest factor impacting healthy watersheds. </w:t>
      </w:r>
    </w:p>
    <w:p w14:paraId="3744C4F3" w14:textId="1D7A935D" w:rsidR="005E478D" w:rsidRPr="00F453B4" w:rsidRDefault="00716DD1" w:rsidP="00F453B4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>A wide range of natural and human factors, such as climate change</w:t>
      </w:r>
      <w:r w:rsidR="00F453B4">
        <w:t xml:space="preserve"> and </w:t>
      </w:r>
      <w:r>
        <w:t>invasive species</w:t>
      </w:r>
      <w:r w:rsidR="00A06EEA">
        <w:t>.</w:t>
      </w:r>
    </w:p>
    <w:p w14:paraId="4D212D92" w14:textId="0DBD8B9D" w:rsidR="00084E84" w:rsidRPr="00A42E5C" w:rsidRDefault="00084E84" w:rsidP="00F453B4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 xml:space="preserve">Ensuring local </w:t>
      </w:r>
      <w:r w:rsidR="00A42E5C">
        <w:t xml:space="preserve">governments and decision-makers have the best available information—and understand it—to make land use decisions. </w:t>
      </w:r>
    </w:p>
    <w:p w14:paraId="47A45516" w14:textId="2F0E4CFF" w:rsidR="00A42E5C" w:rsidRPr="006073AB" w:rsidRDefault="00A42E5C" w:rsidP="00F453B4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 xml:space="preserve">Projects necessary </w:t>
      </w:r>
      <w:r w:rsidR="00BE589D">
        <w:t xml:space="preserve">for assessing </w:t>
      </w:r>
      <w:r w:rsidR="00C20FEC">
        <w:t>the spectrum of watershed health and vulnerability</w:t>
      </w:r>
      <w:r w:rsidR="00BE589D">
        <w:t xml:space="preserve"> </w:t>
      </w:r>
      <w:r w:rsidR="000C2691">
        <w:t xml:space="preserve">on a Chesapeake </w:t>
      </w:r>
      <w:r w:rsidR="07D2F324">
        <w:t>B</w:t>
      </w:r>
      <w:r w:rsidR="000C2691">
        <w:t xml:space="preserve">ay regional scale </w:t>
      </w:r>
      <w:r w:rsidR="00BE7258">
        <w:t>are</w:t>
      </w:r>
      <w:r w:rsidR="00BE589D">
        <w:t xml:space="preserve"> </w:t>
      </w:r>
      <w:r w:rsidR="000C2691">
        <w:t>in progress and are expected in late 2023</w:t>
      </w:r>
      <w:r w:rsidR="00BE589D">
        <w:t xml:space="preserve">. </w:t>
      </w:r>
    </w:p>
    <w:p w14:paraId="11042CEA" w14:textId="209F461D" w:rsidR="00A40BC3" w:rsidRPr="00A40BC3" w:rsidRDefault="00BE7258" w:rsidP="00A40BC3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>Lack of s</w:t>
      </w:r>
      <w:r w:rsidR="00A42663">
        <w:t xml:space="preserve">upport </w:t>
      </w:r>
      <w:r w:rsidR="008916F4">
        <w:t>effective communication</w:t>
      </w:r>
      <w:r w:rsidR="007C6BB8">
        <w:t xml:space="preserve">, </w:t>
      </w:r>
      <w:proofErr w:type="gramStart"/>
      <w:r w:rsidR="008916F4">
        <w:t>coordination</w:t>
      </w:r>
      <w:proofErr w:type="gramEnd"/>
      <w:r w:rsidR="007C6BB8">
        <w:t xml:space="preserve"> </w:t>
      </w:r>
      <w:r>
        <w:t>and leadership</w:t>
      </w:r>
      <w:r w:rsidR="007C6BB8">
        <w:t xml:space="preserve"> with the CBP and the HWGIT</w:t>
      </w:r>
      <w:r>
        <w:t xml:space="preserve"> </w:t>
      </w:r>
      <w:r w:rsidR="00A42663">
        <w:t xml:space="preserve">at the state and local level to protect healthy watersheds. </w:t>
      </w:r>
    </w:p>
    <w:p w14:paraId="39BF9B7F" w14:textId="3EC7BFB2" w:rsidR="00AC4690" w:rsidRPr="00A10A9B" w:rsidRDefault="00301F0A" w:rsidP="00A40BC3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>The HWGIT Coordinator has been leading a multiyear healthy watershed assessment effort</w:t>
      </w:r>
      <w:r w:rsidR="00355C00">
        <w:t xml:space="preserve"> due to limited state capacity to</w:t>
      </w:r>
      <w:r w:rsidR="00A40BC3">
        <w:t xml:space="preserve"> report whether we've lost or gained any healthy waters since the 2014 Bay Agreement was signed. </w:t>
      </w:r>
    </w:p>
    <w:p w14:paraId="21E116C0" w14:textId="18B9874A" w:rsidR="00A5459C" w:rsidRPr="00A10A9B" w:rsidRDefault="00A5459C" w:rsidP="00A10A9B">
      <w:pPr>
        <w:pStyle w:val="ListParagraph"/>
        <w:numPr>
          <w:ilvl w:val="1"/>
          <w:numId w:val="1"/>
        </w:numPr>
        <w:spacing w:after="0"/>
        <w:rPr>
          <w:sz w:val="16"/>
          <w:szCs w:val="16"/>
        </w:rPr>
      </w:pPr>
      <w:r>
        <w:t>Existing reporting through the integrated monitoring reports under section 305b and 303</w:t>
      </w:r>
      <w:r w:rsidR="00834AF5">
        <w:t xml:space="preserve">d of </w:t>
      </w:r>
      <w:r w:rsidR="00294651">
        <w:t>the Clean Water Act</w:t>
      </w:r>
      <w:r w:rsidR="00834AF5">
        <w:t xml:space="preserve"> may help inform reporting and progress </w:t>
      </w:r>
      <w:r w:rsidR="00294651">
        <w:t>tracking</w:t>
      </w:r>
      <w:r w:rsidR="00834AF5">
        <w:t>.</w:t>
      </w:r>
    </w:p>
    <w:p w14:paraId="26019573" w14:textId="4CD027D0" w:rsidR="00A40BC3" w:rsidRPr="00A40BC3" w:rsidRDefault="00FA10AF" w:rsidP="00A10A9B">
      <w:pPr>
        <w:pStyle w:val="ListParagraph"/>
        <w:numPr>
          <w:ilvl w:val="1"/>
          <w:numId w:val="1"/>
        </w:numPr>
        <w:spacing w:after="0"/>
        <w:rPr>
          <w:sz w:val="16"/>
          <w:szCs w:val="16"/>
        </w:rPr>
      </w:pPr>
      <w:r>
        <w:t>It is the intent that the</w:t>
      </w:r>
      <w:r w:rsidR="00A40BC3">
        <w:t xml:space="preserve"> Chesapeake Healthy Watersheds Assessment be used as a proxy to determine </w:t>
      </w:r>
      <w:r>
        <w:t>the spectrum of watershed health and vulnerability</w:t>
      </w:r>
      <w:r w:rsidR="00F04DE7">
        <w:t xml:space="preserve"> and be updated regularly when new data is available.</w:t>
      </w:r>
    </w:p>
    <w:p w14:paraId="41C525BD" w14:textId="1AB28CD7" w:rsidR="652ED636" w:rsidRDefault="00685BB2" w:rsidP="652ED636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lastRenderedPageBreak/>
        <w:t xml:space="preserve">Measures to protect healthy watersheds vary </w:t>
      </w:r>
      <w:r w:rsidR="0015119E">
        <w:t>acros</w:t>
      </w:r>
      <w:r w:rsidR="004D2440">
        <w:t>s—and sometimes within—</w:t>
      </w:r>
      <w:r w:rsidR="005C6A73">
        <w:t xml:space="preserve">watershed jurisdictions. </w:t>
      </w:r>
    </w:p>
    <w:p w14:paraId="7E91CFDC" w14:textId="59A8B290" w:rsidR="7978BCFC" w:rsidRDefault="0C26A8E7" w:rsidP="7978BCFC">
      <w:pPr>
        <w:pStyle w:val="ListParagraph"/>
        <w:numPr>
          <w:ilvl w:val="0"/>
          <w:numId w:val="1"/>
        </w:numPr>
        <w:spacing w:after="0"/>
        <w:rPr>
          <w:sz w:val="16"/>
          <w:szCs w:val="16"/>
        </w:rPr>
      </w:pPr>
      <w:r>
        <w:t>Meeting the Healthy Watersheds Outcome is dependent on the participation of related workgroups and their work/products.</w:t>
      </w:r>
    </w:p>
    <w:p w14:paraId="7174316D" w14:textId="77777777" w:rsidR="00504DD9" w:rsidRPr="004954AA" w:rsidRDefault="00504DD9" w:rsidP="004954AA">
      <w:pPr>
        <w:spacing w:after="0"/>
        <w:rPr>
          <w:sz w:val="16"/>
          <w:szCs w:val="16"/>
        </w:rPr>
      </w:pPr>
    </w:p>
    <w:p w14:paraId="3C1D45B1" w14:textId="369170B6" w:rsidR="0080093A" w:rsidRDefault="00AA723F" w:rsidP="1CF020DA">
      <w:pPr>
        <w:spacing w:after="0"/>
        <w:rPr>
          <w:rFonts w:ascii="Calibri" w:eastAsia="Calibri" w:hAnsi="Calibri" w:cs="Calibri"/>
        </w:rPr>
      </w:pPr>
      <w:r w:rsidRPr="62AB0ED0">
        <w:rPr>
          <w:b/>
          <w:bCs/>
          <w:color w:val="000000" w:themeColor="text1"/>
        </w:rPr>
        <w:t>If on course, what is needed to continue current trajectory? If off course, what is needed to accelerate progress?</w:t>
      </w:r>
      <w:r w:rsidR="02BF0685" w:rsidRPr="62AB0ED0">
        <w:rPr>
          <w:rFonts w:ascii="Calibri" w:eastAsia="Calibri" w:hAnsi="Calibri" w:cs="Calibri"/>
          <w:b/>
          <w:bCs/>
          <w:color w:val="000000" w:themeColor="text1"/>
        </w:rPr>
        <w:t xml:space="preserve"> If uncertain, what would need to be done before 2025 to classify as on course/off course and can this be done in that timeframe?</w:t>
      </w:r>
    </w:p>
    <w:p w14:paraId="5B806F77" w14:textId="5DAA4D86" w:rsidR="00BC6C68" w:rsidRDefault="00BC6C68" w:rsidP="00BC6C68">
      <w:pPr>
        <w:spacing w:after="0"/>
        <w:rPr>
          <w:i/>
          <w:color w:val="000000" w:themeColor="text1"/>
        </w:rPr>
      </w:pPr>
      <w:r>
        <w:rPr>
          <w:i/>
          <w:color w:val="000000" w:themeColor="text1"/>
        </w:rPr>
        <w:t>No more than three-five, succinct bullet points.</w:t>
      </w:r>
    </w:p>
    <w:p w14:paraId="696CF873" w14:textId="77777777" w:rsidR="00BC6C68" w:rsidRPr="00BC6C68" w:rsidRDefault="00BC6C68" w:rsidP="00BC6C68">
      <w:pPr>
        <w:spacing w:after="0"/>
        <w:rPr>
          <w:rFonts w:ascii="Calibri" w:hAnsi="Calibri"/>
          <w:i/>
          <w:color w:val="000000" w:themeColor="text1"/>
          <w:sz w:val="16"/>
          <w:szCs w:val="16"/>
        </w:rPr>
      </w:pPr>
    </w:p>
    <w:p w14:paraId="0C438C39" w14:textId="14E13252" w:rsidR="00D833F8" w:rsidRPr="00D833F8" w:rsidRDefault="00D833F8" w:rsidP="00D833F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4907D58B">
        <w:rPr>
          <w:rFonts w:ascii="Calibri" w:hAnsi="Calibri"/>
        </w:rPr>
        <w:t>Completion of the CHWA 2.0 (August 2023)</w:t>
      </w:r>
      <w:r w:rsidR="254618CC" w:rsidRPr="4907D58B">
        <w:rPr>
          <w:rFonts w:ascii="Calibri" w:hAnsi="Calibri"/>
        </w:rPr>
        <w:t xml:space="preserve"> and commit to updating the </w:t>
      </w:r>
      <w:proofErr w:type="gramStart"/>
      <w:r w:rsidR="254618CC" w:rsidRPr="4907D58B">
        <w:rPr>
          <w:rFonts w:ascii="Calibri" w:hAnsi="Calibri"/>
        </w:rPr>
        <w:t>CHWA  with</w:t>
      </w:r>
      <w:proofErr w:type="gramEnd"/>
      <w:r w:rsidR="254618CC" w:rsidRPr="4907D58B">
        <w:rPr>
          <w:rFonts w:ascii="Calibri" w:hAnsi="Calibri"/>
        </w:rPr>
        <w:t xml:space="preserve"> the best available input data</w:t>
      </w:r>
      <w:r w:rsidR="25CA4AEE" w:rsidRPr="4907D58B">
        <w:rPr>
          <w:rFonts w:ascii="Calibri" w:hAnsi="Calibri"/>
        </w:rPr>
        <w:t xml:space="preserve"> </w:t>
      </w:r>
      <w:r w:rsidR="00854B74">
        <w:rPr>
          <w:rFonts w:ascii="Calibri" w:hAnsi="Calibri"/>
        </w:rPr>
        <w:t xml:space="preserve">as available, </w:t>
      </w:r>
      <w:r w:rsidR="25CA4AEE" w:rsidRPr="4907D58B">
        <w:rPr>
          <w:rFonts w:ascii="Calibri" w:hAnsi="Calibri"/>
        </w:rPr>
        <w:t xml:space="preserve">and  </w:t>
      </w:r>
      <w:r w:rsidR="00854B74">
        <w:rPr>
          <w:rFonts w:ascii="Calibri" w:hAnsi="Calibri"/>
        </w:rPr>
        <w:t xml:space="preserve">consider additional </w:t>
      </w:r>
      <w:r w:rsidR="25CA4AEE" w:rsidRPr="4907D58B">
        <w:rPr>
          <w:rFonts w:ascii="Calibri" w:hAnsi="Calibri"/>
        </w:rPr>
        <w:t xml:space="preserve">watersheds identified by the CHWA as healthy </w:t>
      </w:r>
      <w:r w:rsidR="00F814FB">
        <w:rPr>
          <w:rFonts w:ascii="Calibri" w:hAnsi="Calibri"/>
        </w:rPr>
        <w:t xml:space="preserve">in addition to </w:t>
      </w:r>
      <w:r w:rsidR="25CA4AEE" w:rsidRPr="4907D58B">
        <w:rPr>
          <w:rFonts w:ascii="Calibri" w:hAnsi="Calibri"/>
        </w:rPr>
        <w:t xml:space="preserve">state-identified healthy watersheds </w:t>
      </w:r>
      <w:r w:rsidR="00F814FB">
        <w:rPr>
          <w:rFonts w:ascii="Calibri" w:hAnsi="Calibri"/>
        </w:rPr>
        <w:t>to augment state efforts.</w:t>
      </w:r>
    </w:p>
    <w:p w14:paraId="16673157" w14:textId="77777777" w:rsidR="00D833F8" w:rsidRPr="00D833F8" w:rsidRDefault="00D833F8" w:rsidP="00D833F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4907D58B">
        <w:rPr>
          <w:rFonts w:ascii="Calibri" w:hAnsi="Calibri"/>
        </w:rPr>
        <w:t>Continued Development and application of the LUMM indicators and continued support high resolution LU/LC data</w:t>
      </w:r>
    </w:p>
    <w:p w14:paraId="0FDC86CA" w14:textId="77777777" w:rsidR="00D833F8" w:rsidRPr="00D833F8" w:rsidRDefault="00D833F8" w:rsidP="00D833F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4907D58B">
        <w:rPr>
          <w:rFonts w:ascii="Calibri" w:hAnsi="Calibri"/>
        </w:rPr>
        <w:t xml:space="preserve">Investigation and development of indicator(s) related to watershed health and vulnerability. </w:t>
      </w:r>
    </w:p>
    <w:p w14:paraId="1A2B9EFE" w14:textId="77777777" w:rsidR="00D833F8" w:rsidRPr="00D833F8" w:rsidRDefault="00D833F8" w:rsidP="00D833F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4907D58B">
        <w:rPr>
          <w:rFonts w:ascii="Calibri" w:hAnsi="Calibri"/>
        </w:rPr>
        <w:t>Update the Watershed Protection Map </w:t>
      </w:r>
    </w:p>
    <w:p w14:paraId="167F452D" w14:textId="77777777" w:rsidR="00D833F8" w:rsidRPr="00D833F8" w:rsidRDefault="00D833F8" w:rsidP="00D833F8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00D833F8">
        <w:rPr>
          <w:rFonts w:ascii="Calibri" w:hAnsi="Calibri"/>
        </w:rPr>
        <w:t xml:space="preserve">Implementation of </w:t>
      </w:r>
      <w:hyperlink r:id="rId23" w:history="1">
        <w:r w:rsidRPr="00D833F8">
          <w:rPr>
            <w:rStyle w:val="Hyperlink"/>
            <w:rFonts w:ascii="Calibri" w:hAnsi="Calibri"/>
          </w:rPr>
          <w:t>STAC Rising Temp workshop report</w:t>
        </w:r>
      </w:hyperlink>
    </w:p>
    <w:p w14:paraId="3047FC08" w14:textId="4EE4D73E" w:rsidR="00C335D5" w:rsidRPr="00BC6C68" w:rsidRDefault="00D833F8" w:rsidP="7EFBABCA">
      <w:pPr>
        <w:pStyle w:val="ListParagraph"/>
        <w:numPr>
          <w:ilvl w:val="0"/>
          <w:numId w:val="10"/>
        </w:numPr>
        <w:rPr>
          <w:rFonts w:ascii="Calibri" w:hAnsi="Calibri"/>
        </w:rPr>
      </w:pPr>
      <w:r w:rsidRPr="4907D58B">
        <w:rPr>
          <w:rFonts w:ascii="Calibri" w:hAnsi="Calibri"/>
        </w:rPr>
        <w:t xml:space="preserve">Strengthen local commitment and </w:t>
      </w:r>
      <w:r w:rsidR="6143017A" w:rsidRPr="4907D58B">
        <w:rPr>
          <w:rFonts w:ascii="Calibri" w:hAnsi="Calibri"/>
        </w:rPr>
        <w:t>c</w:t>
      </w:r>
      <w:r w:rsidRPr="4907D58B">
        <w:rPr>
          <w:rFonts w:ascii="Calibri" w:hAnsi="Calibri"/>
        </w:rPr>
        <w:t>apacity</w:t>
      </w:r>
      <w:r w:rsidR="00EB1DDF" w:rsidRPr="4907D58B">
        <w:rPr>
          <w:rFonts w:ascii="Calibri" w:hAnsi="Calibri"/>
        </w:rPr>
        <w:t xml:space="preserve"> to utilize and understand the spectrum of watershed health and vulnerability and increase their capacity to protect healthy watersheds.</w:t>
      </w:r>
    </w:p>
    <w:sectPr w:rsidR="00C335D5" w:rsidRPr="00BC6C68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C1160" w14:textId="77777777" w:rsidR="000B5502" w:rsidRDefault="000B5502" w:rsidP="009915AA">
      <w:pPr>
        <w:spacing w:after="0" w:line="240" w:lineRule="auto"/>
      </w:pPr>
      <w:r>
        <w:separator/>
      </w:r>
    </w:p>
  </w:endnote>
  <w:endnote w:type="continuationSeparator" w:id="0">
    <w:p w14:paraId="38B724DA" w14:textId="77777777" w:rsidR="000B5502" w:rsidRDefault="000B5502" w:rsidP="009915AA">
      <w:pPr>
        <w:spacing w:after="0" w:line="240" w:lineRule="auto"/>
      </w:pPr>
      <w:r>
        <w:continuationSeparator/>
      </w:r>
    </w:p>
  </w:endnote>
  <w:endnote w:type="continuationNotice" w:id="1">
    <w:p w14:paraId="532B1D2B" w14:textId="77777777" w:rsidR="000B5502" w:rsidRDefault="000B55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1AC49" w14:textId="77777777" w:rsidR="000B5502" w:rsidRDefault="000B5502" w:rsidP="009915AA">
      <w:pPr>
        <w:spacing w:after="0" w:line="240" w:lineRule="auto"/>
      </w:pPr>
      <w:r>
        <w:separator/>
      </w:r>
    </w:p>
  </w:footnote>
  <w:footnote w:type="continuationSeparator" w:id="0">
    <w:p w14:paraId="0EE9818B" w14:textId="77777777" w:rsidR="000B5502" w:rsidRDefault="000B5502" w:rsidP="009915AA">
      <w:pPr>
        <w:spacing w:after="0" w:line="240" w:lineRule="auto"/>
      </w:pPr>
      <w:r>
        <w:continuationSeparator/>
      </w:r>
    </w:p>
  </w:footnote>
  <w:footnote w:type="continuationNotice" w:id="1">
    <w:p w14:paraId="4B2288EE" w14:textId="77777777" w:rsidR="000B5502" w:rsidRDefault="000B55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3762" w14:textId="66B91CDD" w:rsidR="009915AA" w:rsidRPr="009915AA" w:rsidRDefault="009915AA">
    <w:pPr>
      <w:pStyle w:val="Header"/>
      <w:rPr>
        <w:b/>
        <w:bCs/>
        <w:sz w:val="28"/>
        <w:szCs w:val="28"/>
      </w:rPr>
    </w:pPr>
    <w:r w:rsidRPr="009915AA">
      <w:rPr>
        <w:b/>
        <w:bCs/>
        <w:noProof/>
        <w:sz w:val="28"/>
        <w:szCs w:val="28"/>
      </w:rPr>
      <w:drawing>
        <wp:inline distT="0" distB="0" distL="0" distR="0" wp14:anchorId="7E830653" wp14:editId="0396A4CD">
          <wp:extent cx="1114425" cy="285750"/>
          <wp:effectExtent l="0" t="0" r="0" b="0"/>
          <wp:docPr id="1548626414" name="Picture 1548626414" descr="A black background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8626414" name="Picture 1548626414" descr="A black background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915AA">
      <w:rPr>
        <w:b/>
        <w:bCs/>
        <w:sz w:val="28"/>
        <w:szCs w:val="28"/>
      </w:rPr>
      <w:tab/>
      <w:t>Healthy Watersheds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2F25"/>
    <w:multiLevelType w:val="hybridMultilevel"/>
    <w:tmpl w:val="6770AE70"/>
    <w:lvl w:ilvl="0" w:tplc="0DEC579E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0C3E68"/>
    <w:multiLevelType w:val="hybridMultilevel"/>
    <w:tmpl w:val="D95A11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2D64E8"/>
    <w:multiLevelType w:val="hybridMultilevel"/>
    <w:tmpl w:val="B9CA1202"/>
    <w:lvl w:ilvl="0" w:tplc="4C68C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3E7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56B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0CE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27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98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25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C4E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48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7355D1"/>
    <w:multiLevelType w:val="hybridMultilevel"/>
    <w:tmpl w:val="A438AC50"/>
    <w:lvl w:ilvl="0" w:tplc="0DEC579E">
      <w:start w:val="3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25767D6"/>
    <w:multiLevelType w:val="hybridMultilevel"/>
    <w:tmpl w:val="38D6BD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765601"/>
    <w:multiLevelType w:val="hybridMultilevel"/>
    <w:tmpl w:val="5512F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67685"/>
    <w:multiLevelType w:val="hybridMultilevel"/>
    <w:tmpl w:val="E2EC14B6"/>
    <w:lvl w:ilvl="0" w:tplc="FC9A3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2C9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5600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886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EF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F8F0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C8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A6A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2EB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F94"/>
    <w:multiLevelType w:val="hybridMultilevel"/>
    <w:tmpl w:val="E8CC9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0A6318"/>
    <w:multiLevelType w:val="hybridMultilevel"/>
    <w:tmpl w:val="8584B014"/>
    <w:lvl w:ilvl="0" w:tplc="150E2D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12793">
    <w:abstractNumId w:val="6"/>
  </w:num>
  <w:num w:numId="2" w16cid:durableId="253167818">
    <w:abstractNumId w:val="8"/>
  </w:num>
  <w:num w:numId="3" w16cid:durableId="942035059">
    <w:abstractNumId w:val="3"/>
  </w:num>
  <w:num w:numId="4" w16cid:durableId="875200317">
    <w:abstractNumId w:val="0"/>
  </w:num>
  <w:num w:numId="5" w16cid:durableId="2100638288">
    <w:abstractNumId w:val="1"/>
  </w:num>
  <w:num w:numId="6" w16cid:durableId="16205259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316342">
    <w:abstractNumId w:val="4"/>
  </w:num>
  <w:num w:numId="8" w16cid:durableId="1768961827">
    <w:abstractNumId w:val="5"/>
  </w:num>
  <w:num w:numId="9" w16cid:durableId="397939809">
    <w:abstractNumId w:val="7"/>
  </w:num>
  <w:num w:numId="10" w16cid:durableId="1590771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40A"/>
    <w:rsid w:val="00012EA0"/>
    <w:rsid w:val="00043E8D"/>
    <w:rsid w:val="000557DD"/>
    <w:rsid w:val="00062C8C"/>
    <w:rsid w:val="00071870"/>
    <w:rsid w:val="00084E84"/>
    <w:rsid w:val="00096522"/>
    <w:rsid w:val="000A355F"/>
    <w:rsid w:val="000B5502"/>
    <w:rsid w:val="000C0564"/>
    <w:rsid w:val="000C2691"/>
    <w:rsid w:val="000D02C4"/>
    <w:rsid w:val="000D3C24"/>
    <w:rsid w:val="00131B54"/>
    <w:rsid w:val="00141ACA"/>
    <w:rsid w:val="0015119E"/>
    <w:rsid w:val="00156176"/>
    <w:rsid w:val="00163E7C"/>
    <w:rsid w:val="001839DB"/>
    <w:rsid w:val="001E2AF2"/>
    <w:rsid w:val="00226FDF"/>
    <w:rsid w:val="0023253A"/>
    <w:rsid w:val="00236E8B"/>
    <w:rsid w:val="00243527"/>
    <w:rsid w:val="00245988"/>
    <w:rsid w:val="00251098"/>
    <w:rsid w:val="00256141"/>
    <w:rsid w:val="00261AC0"/>
    <w:rsid w:val="00294651"/>
    <w:rsid w:val="002A1D8D"/>
    <w:rsid w:val="002F4C2B"/>
    <w:rsid w:val="00301F0A"/>
    <w:rsid w:val="00303E62"/>
    <w:rsid w:val="00327C58"/>
    <w:rsid w:val="003304B8"/>
    <w:rsid w:val="00355C00"/>
    <w:rsid w:val="00357427"/>
    <w:rsid w:val="003835B6"/>
    <w:rsid w:val="004279EA"/>
    <w:rsid w:val="00436B34"/>
    <w:rsid w:val="00443441"/>
    <w:rsid w:val="00460497"/>
    <w:rsid w:val="00484AAC"/>
    <w:rsid w:val="004954AA"/>
    <w:rsid w:val="004A6B5C"/>
    <w:rsid w:val="004D2440"/>
    <w:rsid w:val="005003BA"/>
    <w:rsid w:val="00504DD9"/>
    <w:rsid w:val="00524F21"/>
    <w:rsid w:val="005270DA"/>
    <w:rsid w:val="0054161D"/>
    <w:rsid w:val="00555712"/>
    <w:rsid w:val="00572A06"/>
    <w:rsid w:val="005832AD"/>
    <w:rsid w:val="005863E5"/>
    <w:rsid w:val="005946FB"/>
    <w:rsid w:val="005A574E"/>
    <w:rsid w:val="005B46CC"/>
    <w:rsid w:val="005C6A73"/>
    <w:rsid w:val="005E478D"/>
    <w:rsid w:val="005F143D"/>
    <w:rsid w:val="00602AF2"/>
    <w:rsid w:val="006073AB"/>
    <w:rsid w:val="006341BB"/>
    <w:rsid w:val="00665125"/>
    <w:rsid w:val="00666EFD"/>
    <w:rsid w:val="00670E97"/>
    <w:rsid w:val="00685BB2"/>
    <w:rsid w:val="006909C5"/>
    <w:rsid w:val="006A0C86"/>
    <w:rsid w:val="006D6F67"/>
    <w:rsid w:val="006F1157"/>
    <w:rsid w:val="006F4198"/>
    <w:rsid w:val="006F75D6"/>
    <w:rsid w:val="00704B59"/>
    <w:rsid w:val="00716DD1"/>
    <w:rsid w:val="007409A8"/>
    <w:rsid w:val="00760C09"/>
    <w:rsid w:val="00767620"/>
    <w:rsid w:val="007C3A21"/>
    <w:rsid w:val="007C6BB8"/>
    <w:rsid w:val="007D5EFE"/>
    <w:rsid w:val="007F0D92"/>
    <w:rsid w:val="007F6BA8"/>
    <w:rsid w:val="0080093A"/>
    <w:rsid w:val="00834AF5"/>
    <w:rsid w:val="00854B74"/>
    <w:rsid w:val="00864AA7"/>
    <w:rsid w:val="00883C6C"/>
    <w:rsid w:val="008916F4"/>
    <w:rsid w:val="008A18DB"/>
    <w:rsid w:val="008C2238"/>
    <w:rsid w:val="009712A8"/>
    <w:rsid w:val="00985976"/>
    <w:rsid w:val="009915AA"/>
    <w:rsid w:val="00A06EEA"/>
    <w:rsid w:val="00A10A9B"/>
    <w:rsid w:val="00A40BC3"/>
    <w:rsid w:val="00A42663"/>
    <w:rsid w:val="00A42E5C"/>
    <w:rsid w:val="00A5459C"/>
    <w:rsid w:val="00A560CA"/>
    <w:rsid w:val="00AA723F"/>
    <w:rsid w:val="00AB6A3B"/>
    <w:rsid w:val="00AC2EE7"/>
    <w:rsid w:val="00AC4690"/>
    <w:rsid w:val="00AF01CD"/>
    <w:rsid w:val="00B06B66"/>
    <w:rsid w:val="00B13582"/>
    <w:rsid w:val="00B15902"/>
    <w:rsid w:val="00B2200E"/>
    <w:rsid w:val="00B301F2"/>
    <w:rsid w:val="00B8741F"/>
    <w:rsid w:val="00BA58F8"/>
    <w:rsid w:val="00BC6C68"/>
    <w:rsid w:val="00BE12F4"/>
    <w:rsid w:val="00BE589D"/>
    <w:rsid w:val="00BE7258"/>
    <w:rsid w:val="00C12AD1"/>
    <w:rsid w:val="00C20FEC"/>
    <w:rsid w:val="00C335D5"/>
    <w:rsid w:val="00C46F40"/>
    <w:rsid w:val="00C60876"/>
    <w:rsid w:val="00CB3A54"/>
    <w:rsid w:val="00CB432A"/>
    <w:rsid w:val="00CC7918"/>
    <w:rsid w:val="00CD19DD"/>
    <w:rsid w:val="00CE6920"/>
    <w:rsid w:val="00D4283E"/>
    <w:rsid w:val="00D77256"/>
    <w:rsid w:val="00D833F8"/>
    <w:rsid w:val="00DA7DFB"/>
    <w:rsid w:val="00DD5631"/>
    <w:rsid w:val="00DE6C73"/>
    <w:rsid w:val="00DF5EF2"/>
    <w:rsid w:val="00E11A2E"/>
    <w:rsid w:val="00E14747"/>
    <w:rsid w:val="00E23107"/>
    <w:rsid w:val="00E571EE"/>
    <w:rsid w:val="00E81E81"/>
    <w:rsid w:val="00E930B3"/>
    <w:rsid w:val="00EB1DDF"/>
    <w:rsid w:val="00F04DE7"/>
    <w:rsid w:val="00F06F55"/>
    <w:rsid w:val="00F21500"/>
    <w:rsid w:val="00F44A73"/>
    <w:rsid w:val="00F453B4"/>
    <w:rsid w:val="00F814FB"/>
    <w:rsid w:val="00F9268A"/>
    <w:rsid w:val="00F9540D"/>
    <w:rsid w:val="00F96CA1"/>
    <w:rsid w:val="00FA10AF"/>
    <w:rsid w:val="00FE340A"/>
    <w:rsid w:val="016B3DFD"/>
    <w:rsid w:val="02BF0685"/>
    <w:rsid w:val="0331D7A6"/>
    <w:rsid w:val="07D2F324"/>
    <w:rsid w:val="0AA6B797"/>
    <w:rsid w:val="0B8CFE59"/>
    <w:rsid w:val="0C26A8E7"/>
    <w:rsid w:val="0C8F66F9"/>
    <w:rsid w:val="0EB3961A"/>
    <w:rsid w:val="14BEF6D6"/>
    <w:rsid w:val="1541F448"/>
    <w:rsid w:val="17E2E211"/>
    <w:rsid w:val="1824C127"/>
    <w:rsid w:val="184FCC5F"/>
    <w:rsid w:val="1B75D2A2"/>
    <w:rsid w:val="1CF020DA"/>
    <w:rsid w:val="254618CC"/>
    <w:rsid w:val="25CA4AEE"/>
    <w:rsid w:val="2800F361"/>
    <w:rsid w:val="32968A6B"/>
    <w:rsid w:val="334E625D"/>
    <w:rsid w:val="36C7212F"/>
    <w:rsid w:val="3AB9C88E"/>
    <w:rsid w:val="3D343F86"/>
    <w:rsid w:val="468AFB9F"/>
    <w:rsid w:val="4907D58B"/>
    <w:rsid w:val="4A1A3E69"/>
    <w:rsid w:val="4C47ECDF"/>
    <w:rsid w:val="4D90EF24"/>
    <w:rsid w:val="4F165EAD"/>
    <w:rsid w:val="4F26B766"/>
    <w:rsid w:val="50E1E74B"/>
    <w:rsid w:val="5206AA63"/>
    <w:rsid w:val="52E169D9"/>
    <w:rsid w:val="53046EEF"/>
    <w:rsid w:val="58DD437E"/>
    <w:rsid w:val="5AB19D64"/>
    <w:rsid w:val="5B94644C"/>
    <w:rsid w:val="5E8A0BCB"/>
    <w:rsid w:val="5FD91F74"/>
    <w:rsid w:val="6067D56F"/>
    <w:rsid w:val="6143017A"/>
    <w:rsid w:val="61AB85B4"/>
    <w:rsid w:val="62015B23"/>
    <w:rsid w:val="62062391"/>
    <w:rsid w:val="62AB0ED0"/>
    <w:rsid w:val="652ED636"/>
    <w:rsid w:val="6A6DEFF0"/>
    <w:rsid w:val="6C5B56F7"/>
    <w:rsid w:val="72C1983C"/>
    <w:rsid w:val="77F9E147"/>
    <w:rsid w:val="7877D047"/>
    <w:rsid w:val="78D3C2E0"/>
    <w:rsid w:val="7978BCFC"/>
    <w:rsid w:val="7A37C7B8"/>
    <w:rsid w:val="7A96FDB1"/>
    <w:rsid w:val="7B773F35"/>
    <w:rsid w:val="7D6B1FF4"/>
    <w:rsid w:val="7DFB3C5E"/>
    <w:rsid w:val="7E1B7193"/>
    <w:rsid w:val="7EFBA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96A09"/>
  <w15:chartTrackingRefBased/>
  <w15:docId w15:val="{54C62CFE-CB38-492D-879A-34E8784D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93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4C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4C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4C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C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C2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1B5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91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5AA"/>
  </w:style>
  <w:style w:type="paragraph" w:styleId="Footer">
    <w:name w:val="footer"/>
    <w:basedOn w:val="Normal"/>
    <w:link w:val="FooterChar"/>
    <w:uiPriority w:val="99"/>
    <w:unhideWhenUsed/>
    <w:rsid w:val="00991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5AA"/>
  </w:style>
  <w:style w:type="character" w:styleId="Hyperlink">
    <w:name w:val="Hyperlink"/>
    <w:basedOn w:val="DefaultParagraphFont"/>
    <w:uiPriority w:val="99"/>
    <w:unhideWhenUsed/>
    <w:rsid w:val="00E11A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1A2E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243527"/>
  </w:style>
  <w:style w:type="character" w:customStyle="1" w:styleId="eop">
    <w:name w:val="eop"/>
    <w:basedOn w:val="DefaultParagraphFont"/>
    <w:rsid w:val="00243527"/>
  </w:style>
  <w:style w:type="paragraph" w:styleId="BalloonText">
    <w:name w:val="Balloon Text"/>
    <w:basedOn w:val="Normal"/>
    <w:link w:val="BalloonTextChar"/>
    <w:uiPriority w:val="99"/>
    <w:semiHidden/>
    <w:unhideWhenUsed/>
    <w:rsid w:val="00B22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1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4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3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gis.chesapeakebay.net/wip/dashboard/" TargetMode="External"/><Relationship Id="rId18" Type="http://schemas.openxmlformats.org/officeDocument/2006/relationships/hyperlink" Target="https://www.chesapeakebay.net/what/programs/resource-lands-assessmen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file:///C:/Users/rfelver/Downloads/Targeted%20Outreach%20for%20Green%20Infrastructur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hesapeake.usgs.gov/phase6/map/" TargetMode="External"/><Relationship Id="rId17" Type="http://schemas.openxmlformats.org/officeDocument/2006/relationships/hyperlink" Target="https://d18lev1ok5leia.cloudfront.net/chesapeakebay/documents/chesapeake_land_use_policy_report_final_5-31-2017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18lev1ok5leia.cloudfront.net/chesapeakebay/cst91_chesapeake_forest_restoration_strategy_web_508_final.pdf" TargetMode="External"/><Relationship Id="rId20" Type="http://schemas.openxmlformats.org/officeDocument/2006/relationships/hyperlink" Target="https://cbtrust.org/wp-content/uploads/17727_FinalReport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18lev1ok5leia.cloudfront.net/chesapeakebay/chesapeake_healthy_watersheds_assessment_report.pdf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chesapeake-deij2-chesbay.hub.arcgis.com/" TargetMode="External"/><Relationship Id="rId23" Type="http://schemas.openxmlformats.org/officeDocument/2006/relationships/hyperlink" Target="https://www.chesapeake.org/stac/wp-content/uploads/2023/01/EMBARGOED_STAC-Report_Rising-Temps_1.21.23.pdf" TargetMode="External"/><Relationship Id="rId10" Type="http://schemas.openxmlformats.org/officeDocument/2006/relationships/hyperlink" Target="https://d18lev1ok5leia.cloudfront.net/chesapeakebay/chesapeake_healthy_watersheds_assessment_report.pdf" TargetMode="External"/><Relationship Id="rId19" Type="http://schemas.openxmlformats.org/officeDocument/2006/relationships/hyperlink" Target="https://www.chesapeakebay.net/who/group/local-leadership-workgrou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hesapeakeconservancy.org/conservation-innovation-center/high-resolution-data/lulc-data-project-2022/" TargetMode="External"/><Relationship Id="rId22" Type="http://schemas.openxmlformats.org/officeDocument/2006/relationships/hyperlink" Target="https://d18lev1ok5leia.cloudfront.net/chesapeakebay/documents/MDHWA_FINAL-2022-07-15_updated-2022-12-1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1D1260F2F2DA41B56C521D04CA5723" ma:contentTypeVersion="7" ma:contentTypeDescription="Create a new document." ma:contentTypeScope="" ma:versionID="a84ffe1a35282703db3fbb80e860d9cb">
  <xsd:schema xmlns:xsd="http://www.w3.org/2001/XMLSchema" xmlns:xs="http://www.w3.org/2001/XMLSchema" xmlns:p="http://schemas.microsoft.com/office/2006/metadata/properties" xmlns:ns2="c22938fa-f274-4f38-b9a5-dbafa5254f38" xmlns:ns3="267cd68a-b527-4566-aac3-2a620108349d" targetNamespace="http://schemas.microsoft.com/office/2006/metadata/properties" ma:root="true" ma:fieldsID="5360a598025b916dcbc953ec851554cc" ns2:_="" ns3:_="">
    <xsd:import namespace="c22938fa-f274-4f38-b9a5-dbafa5254f38"/>
    <xsd:import namespace="267cd68a-b527-4566-aac3-2a620108349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938fa-f274-4f38-b9a5-dbafa5254f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cd68a-b527-4566-aac3-2a62010834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27484-B984-446C-AE75-ECE92863FA6A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22938fa-f274-4f38-b9a5-dbafa5254f38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267cd68a-b527-4566-aac3-2a620108349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6DD7F8-1CF6-4607-8533-A50C396CD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2938fa-f274-4f38-b9a5-dbafa5254f38"/>
    <ds:schemaRef ds:uri="267cd68a-b527-4566-aac3-2a62010834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C406D4-5E86-4BB4-82EB-B923D9B53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Sean_Corson</dc:creator>
  <cp:keywords/>
  <dc:description/>
  <cp:lastModifiedBy>Renee Thompson</cp:lastModifiedBy>
  <cp:revision>3</cp:revision>
  <dcterms:created xsi:type="dcterms:W3CDTF">2023-06-01T16:47:00Z</dcterms:created>
  <dcterms:modified xsi:type="dcterms:W3CDTF">2023-06-01T16:47:00Z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0x010100821D1260F2F2DA41B56C521D04CA5723</vt:lpwstr>
  </property>
</Properties>
</file>