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590" w:rsidRPr="00176CF7" w:rsidRDefault="00F96461">
      <w:pPr>
        <w:rPr>
          <w:rFonts w:ascii="Arial" w:hAnsi="Arial"/>
          <w:b/>
          <w:sz w:val="48"/>
          <w:szCs w:val="48"/>
        </w:rPr>
      </w:pPr>
      <w:proofErr w:type="gramStart"/>
      <w:r>
        <w:rPr>
          <w:rFonts w:ascii="Arial" w:hAnsi="Arial"/>
          <w:b/>
          <w:sz w:val="48"/>
          <w:szCs w:val="48"/>
        </w:rPr>
        <w:t>3</w:t>
      </w:r>
      <w:r w:rsidR="001313E4">
        <w:rPr>
          <w:rFonts w:ascii="Arial" w:hAnsi="Arial"/>
          <w:b/>
          <w:sz w:val="48"/>
          <w:szCs w:val="48"/>
        </w:rPr>
        <w:t xml:space="preserve"> Light Attenuation</w:t>
      </w:r>
      <w:proofErr w:type="gramEnd"/>
    </w:p>
    <w:p w:rsidR="001C7590" w:rsidRDefault="001C7590"/>
    <w:p w:rsidR="001C7590" w:rsidRDefault="00827082">
      <w:r>
        <w:pict>
          <v:rect id="_x0000_i1025" style="width:5in;height:1.5pt" o:hralign="center" o:hrstd="t" o:hrnoshade="t" o:hr="t" fillcolor="black" stroked="f"/>
        </w:pict>
      </w:r>
    </w:p>
    <w:p w:rsidR="001C7590" w:rsidRDefault="001C7590"/>
    <w:p w:rsidR="00C7340B" w:rsidRPr="00815D30" w:rsidRDefault="001313E4">
      <w:pPr>
        <w:rPr>
          <w:rFonts w:ascii="Arial" w:hAnsi="Arial"/>
          <w:b/>
          <w:sz w:val="28"/>
          <w:szCs w:val="28"/>
        </w:rPr>
      </w:pPr>
      <w:r>
        <w:rPr>
          <w:rFonts w:ascii="Arial" w:hAnsi="Arial"/>
          <w:b/>
          <w:sz w:val="28"/>
          <w:szCs w:val="28"/>
        </w:rPr>
        <w:t>Introduction</w:t>
      </w:r>
    </w:p>
    <w:p w:rsidR="00C7340B" w:rsidRDefault="00C7340B"/>
    <w:p w:rsidR="001313E4" w:rsidRDefault="001313E4">
      <w:r>
        <w:tab/>
      </w:r>
      <w:r w:rsidR="00F96461">
        <w:t xml:space="preserve">Light attenuation is computed using a </w:t>
      </w:r>
      <w:r>
        <w:t xml:space="preserve">“partial attenuation model” </w:t>
      </w:r>
      <w:r w:rsidR="00F96461">
        <w:t>in which light attenuation is considered as the sum of the contribution from individual components</w:t>
      </w:r>
      <w:r>
        <w:t xml:space="preserve">.  </w:t>
      </w:r>
      <w:r w:rsidR="00F96461">
        <w:t xml:space="preserve">The components include water itself, colored </w:t>
      </w:r>
      <w:r w:rsidR="0046436F">
        <w:t xml:space="preserve">organic matter, and </w:t>
      </w:r>
      <w:r w:rsidR="00F96461">
        <w:t>suspended particles.  The selection of components depends on available observations.  The contribution from each component depends on local conditions.</w:t>
      </w:r>
    </w:p>
    <w:p w:rsidR="00F96461" w:rsidRDefault="00F96461"/>
    <w:p w:rsidR="00F96461" w:rsidRPr="000F501B" w:rsidRDefault="00F96461">
      <w:pPr>
        <w:rPr>
          <w:rFonts w:ascii="Arial" w:hAnsi="Arial"/>
          <w:b/>
          <w:sz w:val="28"/>
          <w:szCs w:val="28"/>
        </w:rPr>
      </w:pPr>
      <w:r w:rsidRPr="000F501B">
        <w:rPr>
          <w:rFonts w:ascii="Arial" w:hAnsi="Arial"/>
          <w:b/>
          <w:sz w:val="28"/>
          <w:szCs w:val="28"/>
        </w:rPr>
        <w:t>Methods</w:t>
      </w:r>
    </w:p>
    <w:p w:rsidR="00F96461" w:rsidRDefault="00F96461"/>
    <w:p w:rsidR="00973465" w:rsidRDefault="00F96461">
      <w:r>
        <w:tab/>
        <w:t>Observations of light attenuation (</w:t>
      </w:r>
      <w:proofErr w:type="spellStart"/>
      <w:r>
        <w:t>Ke</w:t>
      </w:r>
      <w:proofErr w:type="spellEnd"/>
      <w:r>
        <w:t>) and of contributors to attenuation were obtained from the Chesapeake Bay Program on-line data base (</w:t>
      </w:r>
      <w:r w:rsidR="003E3B4A" w:rsidRPr="003E3B4A">
        <w:t>http://www.chesapeakebay.net/data/downloads/cbp_water_quality_database_1984_present</w:t>
      </w:r>
      <w:r w:rsidR="00AE6B42">
        <w:t xml:space="preserve">).  Observations were obtained for the years 2000 – 2010 </w:t>
      </w:r>
      <w:r w:rsidR="009837E4">
        <w:t>from</w:t>
      </w:r>
      <w:r w:rsidR="00AE6B42">
        <w:t xml:space="preserve"> the </w:t>
      </w:r>
      <w:r w:rsidR="009837E4">
        <w:t xml:space="preserve">Tidal Water Quality Monitoring Program and the Shallow Water Monitoring Program.  </w:t>
      </w:r>
      <w:r w:rsidR="00973465">
        <w:t xml:space="preserve">Contributors </w:t>
      </w:r>
      <w:r w:rsidR="009837E4">
        <w:t>included particulate organic carbon (POC), dissolved organic carbon (DOC), volatile suspended solids (VSS), total suspen</w:t>
      </w:r>
      <w:r w:rsidR="008D2624">
        <w:t>ded solids (TSS), salinity (SALT</w:t>
      </w:r>
      <w:r w:rsidR="009837E4">
        <w:t xml:space="preserve">), and chlorophyll ‘a’ (CHL).  </w:t>
      </w:r>
      <w:r w:rsidR="00973465">
        <w:t xml:space="preserve">DOC and SALT were included as potential indicators of color while the other contributors </w:t>
      </w:r>
      <w:r w:rsidR="000F501B">
        <w:t>represented</w:t>
      </w:r>
      <w:r w:rsidR="00973465">
        <w:t xml:space="preserve"> various fractions of suspended solids.  Negative values and outliers were removed from the data base, leaving nearly 18,000 observations of KE and contributing factors.  </w:t>
      </w:r>
    </w:p>
    <w:p w:rsidR="00973465" w:rsidRDefault="00973465"/>
    <w:p w:rsidR="00F96461" w:rsidRDefault="00973465">
      <w:r>
        <w:tab/>
      </w:r>
      <w:r w:rsidR="003E3B4A">
        <w:t xml:space="preserve">Stepwise regression </w:t>
      </w:r>
      <w:r>
        <w:t>was employed to evaluate additive models which included various combinations of contributing factors.  Superior results (R</w:t>
      </w:r>
      <w:r w:rsidRPr="00237FF4">
        <w:rPr>
          <w:vertAlign w:val="superscript"/>
        </w:rPr>
        <w:t>2</w:t>
      </w:r>
      <w:r>
        <w:t xml:space="preserve"> = </w:t>
      </w:r>
      <w:r w:rsidR="00237FF4">
        <w:t>0.62</w:t>
      </w:r>
      <w:r w:rsidR="005B78AA">
        <w:t>3</w:t>
      </w:r>
      <w:r w:rsidR="00237FF4">
        <w:t xml:space="preserve">) </w:t>
      </w:r>
      <w:r>
        <w:t xml:space="preserve">were obtained for a simple model which related KE to TSS and SALT:  </w:t>
      </w:r>
      <w:r w:rsidR="009837E4">
        <w:t xml:space="preserve">  </w:t>
      </w:r>
    </w:p>
    <w:p w:rsidR="001313E4" w:rsidRDefault="001313E4"/>
    <w:p w:rsidR="001313E4" w:rsidRPr="001313E4" w:rsidRDefault="001313E4" w:rsidP="005476B5">
      <w:pPr>
        <w:jc w:val="center"/>
      </w:pPr>
      <m:oMath>
        <m:r>
          <w:rPr>
            <w:rFonts w:ascii="Cambria Math" w:hAnsi="Cambria Math"/>
          </w:rPr>
          <m:t>Ke=a1+a2 ∙TSS+a3 ∙SALT</m:t>
        </m:r>
      </m:oMath>
      <w:r w:rsidR="005476B5">
        <w:t xml:space="preserve">                                      (1)</w:t>
      </w:r>
    </w:p>
    <w:p w:rsidR="001313E4" w:rsidRPr="001313E4" w:rsidRDefault="005476B5">
      <w:r>
        <w:t xml:space="preserve">                                                                                                  </w:t>
      </w:r>
    </w:p>
    <w:p w:rsidR="001313E4" w:rsidRDefault="001313E4">
      <w:proofErr w:type="gramStart"/>
      <w:r>
        <w:t>in</w:t>
      </w:r>
      <w:proofErr w:type="gramEnd"/>
      <w:r>
        <w:t xml:space="preserve"> which:</w:t>
      </w:r>
    </w:p>
    <w:p w:rsidR="001313E4" w:rsidRDefault="001313E4"/>
    <w:p w:rsidR="001313E4" w:rsidRDefault="001313E4">
      <w:proofErr w:type="spellStart"/>
      <w:r>
        <w:t>Ke</w:t>
      </w:r>
      <w:proofErr w:type="spellEnd"/>
      <w:r>
        <w:t xml:space="preserve"> = coefficient of diffuse light attenuation (m</w:t>
      </w:r>
      <w:r w:rsidRPr="001313E4">
        <w:rPr>
          <w:vertAlign w:val="superscript"/>
        </w:rPr>
        <w:t>-1</w:t>
      </w:r>
      <w:r>
        <w:t>)</w:t>
      </w:r>
    </w:p>
    <w:p w:rsidR="001313E4" w:rsidRDefault="001313E4">
      <w:r>
        <w:t>a1 = background attenuation (m</w:t>
      </w:r>
      <w:r w:rsidRPr="001313E4">
        <w:rPr>
          <w:vertAlign w:val="superscript"/>
        </w:rPr>
        <w:t>-1</w:t>
      </w:r>
      <w:r>
        <w:t>)</w:t>
      </w:r>
    </w:p>
    <w:p w:rsidR="001313E4" w:rsidRDefault="00237FF4">
      <w:r>
        <w:t xml:space="preserve">a2 = attenuation by total </w:t>
      </w:r>
      <w:r w:rsidR="001313E4">
        <w:t>suspended solids (m</w:t>
      </w:r>
      <w:r w:rsidR="001313E4" w:rsidRPr="001313E4">
        <w:rPr>
          <w:vertAlign w:val="superscript"/>
        </w:rPr>
        <w:t>2</w:t>
      </w:r>
      <w:r w:rsidR="001313E4">
        <w:t xml:space="preserve"> g</w:t>
      </w:r>
      <w:r w:rsidR="001313E4" w:rsidRPr="001313E4">
        <w:rPr>
          <w:vertAlign w:val="superscript"/>
        </w:rPr>
        <w:t>-1</w:t>
      </w:r>
      <w:r w:rsidR="001313E4">
        <w:t>)</w:t>
      </w:r>
    </w:p>
    <w:p w:rsidR="001313E4" w:rsidRDefault="001313E4">
      <w:r>
        <w:t xml:space="preserve">a3 = </w:t>
      </w:r>
      <w:r w:rsidR="00237FF4">
        <w:t>relationship between attenuation and salinity</w:t>
      </w:r>
      <w:r>
        <w:t xml:space="preserve"> (m</w:t>
      </w:r>
      <w:r w:rsidRPr="001313E4">
        <w:rPr>
          <w:vertAlign w:val="superscript"/>
        </w:rPr>
        <w:t>2</w:t>
      </w:r>
      <w:r>
        <w:t xml:space="preserve"> </w:t>
      </w:r>
      <w:r w:rsidR="00237FF4">
        <w:t>k</w:t>
      </w:r>
      <w:r>
        <w:t>g</w:t>
      </w:r>
      <w:r w:rsidRPr="001313E4">
        <w:rPr>
          <w:vertAlign w:val="superscript"/>
        </w:rPr>
        <w:t>-1</w:t>
      </w:r>
      <w:r>
        <w:t>)</w:t>
      </w:r>
    </w:p>
    <w:p w:rsidR="001313E4" w:rsidRDefault="00237FF4">
      <w:r>
        <w:t xml:space="preserve">TSS = total </w:t>
      </w:r>
      <w:r w:rsidR="001313E4">
        <w:t>suspended solids concentration (g m</w:t>
      </w:r>
      <w:r w:rsidR="001313E4" w:rsidRPr="001313E4">
        <w:rPr>
          <w:vertAlign w:val="superscript"/>
        </w:rPr>
        <w:t>-3</w:t>
      </w:r>
      <w:r w:rsidR="001313E4">
        <w:t>)</w:t>
      </w:r>
    </w:p>
    <w:p w:rsidR="001313E4" w:rsidRDefault="00237FF4">
      <w:r>
        <w:t>SALT = salinity</w:t>
      </w:r>
      <w:r w:rsidR="001313E4">
        <w:t xml:space="preserve"> (</w:t>
      </w:r>
      <w:r>
        <w:t>k</w:t>
      </w:r>
      <w:r w:rsidR="001313E4">
        <w:t>g m</w:t>
      </w:r>
      <w:r w:rsidR="001313E4" w:rsidRPr="001313E4">
        <w:rPr>
          <w:vertAlign w:val="superscript"/>
        </w:rPr>
        <w:t>-3</w:t>
      </w:r>
      <w:r w:rsidR="001313E4">
        <w:t>)</w:t>
      </w:r>
    </w:p>
    <w:p w:rsidR="000F501B" w:rsidRDefault="000F501B"/>
    <w:p w:rsidR="00FB7007" w:rsidRDefault="00FB7007" w:rsidP="005A1AB7">
      <w:pPr>
        <w:sectPr w:rsidR="00FB7007" w:rsidSect="00FB7007">
          <w:footerReference w:type="even" r:id="rId9"/>
          <w:footerReference w:type="default" r:id="rId10"/>
          <w:pgSz w:w="12240" w:h="15840"/>
          <w:pgMar w:top="2880" w:right="2880" w:bottom="1440" w:left="2160" w:header="720" w:footer="720" w:gutter="0"/>
          <w:cols w:space="720"/>
          <w:docGrid w:linePitch="360"/>
        </w:sectPr>
      </w:pPr>
    </w:p>
    <w:p w:rsidR="005A1AB7" w:rsidRDefault="005B78AA" w:rsidP="005A1AB7">
      <w:r>
        <w:lastRenderedPageBreak/>
        <w:t xml:space="preserve">CHL was an additional significant (p &lt; 0.0001) contributor to attenuation but the marginal </w:t>
      </w:r>
      <w:r w:rsidR="0046436F">
        <w:t>improvement in</w:t>
      </w:r>
      <w:r>
        <w:t xml:space="preserve"> R</w:t>
      </w:r>
      <w:r w:rsidRPr="005B78AA">
        <w:rPr>
          <w:vertAlign w:val="superscript"/>
        </w:rPr>
        <w:t>2</w:t>
      </w:r>
      <w:r>
        <w:t xml:space="preserve"> was small, 0.012, so CHL was neglected in the model.  </w:t>
      </w:r>
    </w:p>
    <w:p w:rsidR="005A1AB7" w:rsidRDefault="005A1AB7" w:rsidP="005A1AB7"/>
    <w:p w:rsidR="00827E52" w:rsidRDefault="005B78AA" w:rsidP="005A1AB7">
      <w:pPr>
        <w:ind w:firstLine="720"/>
      </w:pPr>
      <w:r>
        <w:t xml:space="preserve">After the model was established, residuals were examined by monitoring station.  </w:t>
      </w:r>
      <w:r w:rsidR="00C07645">
        <w:t>Background attenuation (p</w:t>
      </w:r>
      <w:r>
        <w:t>arameter a1</w:t>
      </w:r>
      <w:r w:rsidR="00C07645">
        <w:t>)</w:t>
      </w:r>
      <w:r>
        <w:t xml:space="preserve"> was adjusted in regions of the Bay which were judged to have sign</w:t>
      </w:r>
      <w:r w:rsidR="00827E52">
        <w:t>i</w:t>
      </w:r>
      <w:r>
        <w:t>fic</w:t>
      </w:r>
      <w:r w:rsidR="00827E52">
        <w:t>a</w:t>
      </w:r>
      <w:r>
        <w:t>nt, consistent,</w:t>
      </w:r>
      <w:r w:rsidR="00827E52">
        <w:t xml:space="preserve"> residuals.  Additional adjustment</w:t>
      </w:r>
      <w:r w:rsidR="008D2624">
        <w:t>s to parameter a1 were</w:t>
      </w:r>
      <w:r w:rsidR="00827E52">
        <w:t xml:space="preserve"> performed in a few regions based on model-</w:t>
      </w:r>
      <w:r w:rsidR="008D2624">
        <w:t xml:space="preserve">data comparisons following </w:t>
      </w:r>
      <w:r w:rsidR="00827E52">
        <w:t>operation of the water quality model</w:t>
      </w:r>
      <w:r w:rsidR="00675F49">
        <w:t xml:space="preserve"> (WQM)</w:t>
      </w:r>
      <w:r w:rsidR="00827E52">
        <w:t>.</w:t>
      </w:r>
    </w:p>
    <w:p w:rsidR="00827E52" w:rsidRDefault="00827E52"/>
    <w:p w:rsidR="000F501B" w:rsidRPr="00675F49" w:rsidRDefault="000F501B">
      <w:pPr>
        <w:rPr>
          <w:rFonts w:ascii="Arial" w:hAnsi="Arial"/>
          <w:b/>
          <w:sz w:val="28"/>
          <w:szCs w:val="28"/>
        </w:rPr>
      </w:pPr>
      <w:r w:rsidRPr="00675F49">
        <w:rPr>
          <w:rFonts w:ascii="Arial" w:hAnsi="Arial"/>
          <w:b/>
          <w:sz w:val="28"/>
          <w:szCs w:val="28"/>
        </w:rPr>
        <w:t>Results</w:t>
      </w:r>
    </w:p>
    <w:p w:rsidR="000F501B" w:rsidRDefault="000F501B"/>
    <w:p w:rsidR="005A1AB7" w:rsidRDefault="000F501B">
      <w:r>
        <w:tab/>
        <w:t xml:space="preserve">Parameter values obtained from regression were: a1 = </w:t>
      </w:r>
      <w:proofErr w:type="gramStart"/>
      <w:r>
        <w:t>1.647 m</w:t>
      </w:r>
      <w:r w:rsidRPr="005A1AB7">
        <w:rPr>
          <w:vertAlign w:val="superscript"/>
        </w:rPr>
        <w:t>-1</w:t>
      </w:r>
      <w:proofErr w:type="gramEnd"/>
      <w:r>
        <w:t>; a2 = 0.0557 m</w:t>
      </w:r>
      <w:r w:rsidRPr="005A1AB7">
        <w:rPr>
          <w:vertAlign w:val="superscript"/>
        </w:rPr>
        <w:t>2</w:t>
      </w:r>
      <w:r>
        <w:t xml:space="preserve"> g</w:t>
      </w:r>
      <w:r w:rsidRPr="005A1AB7">
        <w:rPr>
          <w:vertAlign w:val="superscript"/>
        </w:rPr>
        <w:t>-1</w:t>
      </w:r>
      <w:r>
        <w:t>; a3 = -0.0624 m</w:t>
      </w:r>
      <w:r w:rsidRPr="005A1AB7">
        <w:rPr>
          <w:vertAlign w:val="superscript"/>
        </w:rPr>
        <w:t>2</w:t>
      </w:r>
      <w:r>
        <w:t xml:space="preserve"> kg</w:t>
      </w:r>
      <w:r w:rsidRPr="005A1AB7">
        <w:rPr>
          <w:vertAlign w:val="superscript"/>
        </w:rPr>
        <w:t>-1</w:t>
      </w:r>
      <w:r>
        <w:t xml:space="preserve">. </w:t>
      </w:r>
      <w:r w:rsidR="005A1AB7">
        <w:t xml:space="preserve"> The negative value for a3 implies that freshwater is more highly-colored than ocean water.  Attenuation due to color diminishes as the fraction of ocean water at the sample location increases.  Examination of residuals indicated:</w:t>
      </w:r>
    </w:p>
    <w:p w:rsidR="00E25D35" w:rsidRDefault="00E25D35" w:rsidP="00C07645">
      <w:pPr>
        <w:pStyle w:val="ListParagraph"/>
        <w:numPr>
          <w:ilvl w:val="0"/>
          <w:numId w:val="6"/>
        </w:numPr>
      </w:pPr>
      <w:r>
        <w:t>Negative residuals (observed attenuation less than modeled) near the James, Rappahannock, Potomac and Susquehanna fall lines.</w:t>
      </w:r>
    </w:p>
    <w:p w:rsidR="00C07645" w:rsidRDefault="00E25D35" w:rsidP="00C07645">
      <w:pPr>
        <w:pStyle w:val="ListParagraph"/>
        <w:numPr>
          <w:ilvl w:val="0"/>
          <w:numId w:val="6"/>
        </w:numPr>
      </w:pPr>
      <w:r>
        <w:t xml:space="preserve">Negative residuals in the lower Potomac and St. </w:t>
      </w:r>
      <w:proofErr w:type="spellStart"/>
      <w:r>
        <w:t>Marys</w:t>
      </w:r>
      <w:proofErr w:type="spellEnd"/>
      <w:r>
        <w:t xml:space="preserve"> River</w:t>
      </w:r>
      <w:r w:rsidR="00C07645">
        <w:t>.</w:t>
      </w:r>
    </w:p>
    <w:p w:rsidR="00C07645" w:rsidRDefault="00C07645" w:rsidP="00C07645">
      <w:pPr>
        <w:pStyle w:val="ListParagraph"/>
        <w:numPr>
          <w:ilvl w:val="0"/>
          <w:numId w:val="6"/>
        </w:numPr>
      </w:pPr>
      <w:r>
        <w:t>Positive residuals (observed attenuation greater than modeled) in the York and Mattaponi rivers.</w:t>
      </w:r>
    </w:p>
    <w:p w:rsidR="00C07645" w:rsidRDefault="00C07645" w:rsidP="00C07645">
      <w:pPr>
        <w:pStyle w:val="ListParagraph"/>
        <w:numPr>
          <w:ilvl w:val="0"/>
          <w:numId w:val="6"/>
        </w:numPr>
      </w:pPr>
      <w:r>
        <w:t>Positive residuals in the lower James and Elizabeth Rivers.</w:t>
      </w:r>
    </w:p>
    <w:p w:rsidR="00C07645" w:rsidRDefault="00C07645">
      <w:r>
        <w:t xml:space="preserve">Adjustments to background attenuation are presented in Table </w:t>
      </w:r>
      <w:r w:rsidR="00426227">
        <w:t>3-</w:t>
      </w:r>
      <w:r>
        <w:t xml:space="preserve">1 for Chesapeake Bay Program Segments as shown in Figure </w:t>
      </w:r>
      <w:r w:rsidR="00426227">
        <w:t>3-</w:t>
      </w:r>
      <w:r>
        <w:t xml:space="preserve">1. </w:t>
      </w:r>
    </w:p>
    <w:p w:rsidR="00C07645" w:rsidRDefault="00C07645"/>
    <w:p w:rsidR="00C07645" w:rsidRPr="00171B08" w:rsidRDefault="00C07645">
      <w:pPr>
        <w:rPr>
          <w:rFonts w:ascii="Arial" w:hAnsi="Arial"/>
          <w:b/>
          <w:sz w:val="28"/>
          <w:szCs w:val="28"/>
        </w:rPr>
      </w:pPr>
      <w:r w:rsidRPr="00171B08">
        <w:rPr>
          <w:rFonts w:ascii="Arial" w:hAnsi="Arial"/>
          <w:b/>
          <w:sz w:val="28"/>
          <w:szCs w:val="28"/>
        </w:rPr>
        <w:t>Additional Model Considerations</w:t>
      </w:r>
    </w:p>
    <w:p w:rsidR="00C07645" w:rsidRDefault="00C07645"/>
    <w:p w:rsidR="00CC69F9" w:rsidRDefault="00675F49" w:rsidP="00C07645">
      <w:pPr>
        <w:ind w:firstLine="720"/>
      </w:pPr>
      <w:r>
        <w:t xml:space="preserve">Observed </w:t>
      </w:r>
      <w:r w:rsidR="00C07645">
        <w:t xml:space="preserve">TSS </w:t>
      </w:r>
      <w:r>
        <w:t xml:space="preserve">in the attenuation relationship </w:t>
      </w:r>
      <w:r w:rsidR="00C07645">
        <w:t xml:space="preserve">is the sum of organic and inorganic particulate matter.  </w:t>
      </w:r>
      <w:r>
        <w:t xml:space="preserve">Multiple WQM state variables must be summed to obtain TSS for use in the relationship.  </w:t>
      </w:r>
      <w:r w:rsidR="00C07645">
        <w:t xml:space="preserve">Concentration of inorganic </w:t>
      </w:r>
      <w:r>
        <w:t>solids is obtained from the WQM</w:t>
      </w:r>
      <w:r w:rsidR="00C07645">
        <w:t xml:space="preserve"> as the sum of the fine clay, clay, silt, and sand state variables.</w:t>
      </w:r>
      <w:r>
        <w:t xml:space="preserve">  Observed organic</w:t>
      </w:r>
      <w:r w:rsidR="00700359">
        <w:t xml:space="preserve"> (</w:t>
      </w:r>
      <w:r>
        <w:t>volatile</w:t>
      </w:r>
      <w:r w:rsidR="00700359">
        <w:t>)</w:t>
      </w:r>
      <w:r>
        <w:t xml:space="preserve"> solids correspond to model POC state variables.  For idealized organic matter</w:t>
      </w:r>
      <w:r w:rsidR="00700359">
        <w:t>,</w:t>
      </w:r>
      <w:r>
        <w:t xml:space="preserve"> represented as CH</w:t>
      </w:r>
      <w:r w:rsidRPr="00675F49">
        <w:rPr>
          <w:vertAlign w:val="subscript"/>
        </w:rPr>
        <w:t>2</w:t>
      </w:r>
      <w:r>
        <w:t>O, organic solids concentration would be 2.</w:t>
      </w:r>
      <w:r w:rsidR="00CC69F9">
        <w:t xml:space="preserve">5 times POC </w:t>
      </w:r>
      <w:r>
        <w:t xml:space="preserve">concentration.  In reality, this ratio can vary.  </w:t>
      </w:r>
      <w:r w:rsidR="00700359">
        <w:t xml:space="preserve">The appropriate ratio for Chesapeake Bay was obtained </w:t>
      </w:r>
      <w:r w:rsidR="00D84897">
        <w:t>by Type II regression (Laws and Archie, 1981</w:t>
      </w:r>
      <w:r w:rsidR="00700359">
        <w:t>) of observed VSS on observed POC.  The result indicated organic solids = 2.9 * POC (R</w:t>
      </w:r>
      <w:r w:rsidR="00700359" w:rsidRPr="00700359">
        <w:rPr>
          <w:vertAlign w:val="superscript"/>
        </w:rPr>
        <w:t>2</w:t>
      </w:r>
      <w:r w:rsidR="00700359">
        <w:t xml:space="preserve"> = 0.889).  Model POC is the sum of the three algal groups and three particulate organic carbon variables.</w:t>
      </w:r>
    </w:p>
    <w:p w:rsidR="00CC69F9" w:rsidRDefault="00CC69F9" w:rsidP="00C07645">
      <w:pPr>
        <w:ind w:firstLine="720"/>
      </w:pPr>
    </w:p>
    <w:p w:rsidR="00240FA5" w:rsidRDefault="00CC69F9" w:rsidP="004A2170">
      <w:pPr>
        <w:ind w:firstLine="720"/>
      </w:pPr>
      <w:r>
        <w:t xml:space="preserve">The negative relationship between </w:t>
      </w:r>
      <w:proofErr w:type="spellStart"/>
      <w:r>
        <w:t>Ke</w:t>
      </w:r>
      <w:proofErr w:type="spellEnd"/>
      <w:r>
        <w:t xml:space="preserve"> and SALT can result in negative values for </w:t>
      </w:r>
      <w:proofErr w:type="spellStart"/>
      <w:r>
        <w:t>Ke</w:t>
      </w:r>
      <w:proofErr w:type="spellEnd"/>
      <w:r>
        <w:t xml:space="preserve"> under conditions of high salinity coupled with low TSS.  To avoid negative values, a minimum </w:t>
      </w:r>
      <w:proofErr w:type="spellStart"/>
      <w:r>
        <w:t>Ke</w:t>
      </w:r>
      <w:proofErr w:type="spellEnd"/>
      <w:r>
        <w:t xml:space="preserve"> value of 0.15 m</w:t>
      </w:r>
      <w:r w:rsidRPr="00CC69F9">
        <w:rPr>
          <w:vertAlign w:val="superscript"/>
        </w:rPr>
        <w:t>-1</w:t>
      </w:r>
      <w:r>
        <w:t xml:space="preserve"> is imposed</w:t>
      </w:r>
      <w:r w:rsidR="004A2170">
        <w:t>.</w:t>
      </w:r>
    </w:p>
    <w:p w:rsidR="004A2170" w:rsidRDefault="004A2170" w:rsidP="004A2170">
      <w:pPr>
        <w:ind w:firstLine="720"/>
      </w:pPr>
    </w:p>
    <w:p w:rsidR="00240FA5" w:rsidRPr="00932D31" w:rsidRDefault="004A2170" w:rsidP="00240FA5">
      <w:pPr>
        <w:rPr>
          <w:rFonts w:ascii="Arial Bold" w:hAnsi="Arial Bold"/>
          <w:b/>
          <w:sz w:val="28"/>
        </w:rPr>
      </w:pPr>
      <w:r>
        <w:rPr>
          <w:rFonts w:ascii="Arial Bold" w:hAnsi="Arial Bold"/>
          <w:b/>
          <w:sz w:val="28"/>
        </w:rPr>
        <w:t>Comparison of Two Optical Models</w:t>
      </w:r>
    </w:p>
    <w:p w:rsidR="00240FA5" w:rsidRDefault="00240FA5" w:rsidP="00240FA5"/>
    <w:p w:rsidR="00240FA5" w:rsidRDefault="004A2170" w:rsidP="00240FA5">
      <w:pPr>
        <w:ind w:firstLine="720"/>
      </w:pPr>
      <w:r>
        <w:t xml:space="preserve">The partial attenuation model </w:t>
      </w:r>
      <w:r w:rsidR="00EB2730">
        <w:t xml:space="preserve">(PAM) </w:t>
      </w:r>
      <w:r>
        <w:t xml:space="preserve">described here replaces an advanced optical model </w:t>
      </w:r>
      <w:r w:rsidR="00EB2730">
        <w:t xml:space="preserve">(AOM) </w:t>
      </w:r>
      <w:r>
        <w:t>employed in the 2010</w:t>
      </w:r>
      <w:r w:rsidR="00E54B74">
        <w:t xml:space="preserve"> model study (</w:t>
      </w:r>
      <w:proofErr w:type="spellStart"/>
      <w:r w:rsidR="00E54B74">
        <w:t>Cerco</w:t>
      </w:r>
      <w:proofErr w:type="spellEnd"/>
      <w:r w:rsidR="00E54B74">
        <w:t xml:space="preserve"> et al.</w:t>
      </w:r>
      <w:r w:rsidR="002479E7">
        <w:t xml:space="preserve"> 2010</w:t>
      </w:r>
      <w:r>
        <w:t xml:space="preserve">).  </w:t>
      </w:r>
      <w:r w:rsidR="008804C5">
        <w:t>Following parameterization of the PAM and implementation in the WQM, a model run was made for com</w:t>
      </w:r>
      <w:r w:rsidR="0046436F">
        <w:t xml:space="preserve">parison of results with the previous </w:t>
      </w:r>
      <w:r w:rsidR="008804C5">
        <w:t xml:space="preserve">optical </w:t>
      </w:r>
      <w:r w:rsidR="008804C5">
        <w:lastRenderedPageBreak/>
        <w:t xml:space="preserve">model.  Computations of </w:t>
      </w:r>
      <w:proofErr w:type="spellStart"/>
      <w:r w:rsidR="008804C5">
        <w:t>Ke</w:t>
      </w:r>
      <w:proofErr w:type="spellEnd"/>
      <w:r w:rsidR="008804C5">
        <w:t xml:space="preserve"> were compared using the absolute mean difference statistic developed for the initial Chesapeake Bay model (</w:t>
      </w:r>
      <w:proofErr w:type="spellStart"/>
      <w:r w:rsidR="008804C5">
        <w:t>Cerco</w:t>
      </w:r>
      <w:proofErr w:type="spellEnd"/>
      <w:r w:rsidR="008804C5">
        <w:t xml:space="preserve"> and Cole</w:t>
      </w:r>
      <w:r w:rsidR="0046436F">
        <w:t xml:space="preserve"> 1994) and utilized thereafter to examine model performance</w:t>
      </w:r>
      <w:r w:rsidR="00240FA5">
        <w:t>:</w:t>
      </w:r>
    </w:p>
    <w:p w:rsidR="00240FA5" w:rsidRDefault="00240FA5" w:rsidP="00240FA5"/>
    <w:p w:rsidR="00240FA5" w:rsidRPr="00DB59F8" w:rsidRDefault="00240FA5" w:rsidP="00240FA5">
      <w:r>
        <w:t xml:space="preserve">  </w:t>
      </w:r>
      <w:r w:rsidR="00932D31">
        <w:t xml:space="preserve">                                                                                                                 (4)</w:t>
      </w:r>
    </w:p>
    <w:p w:rsidR="00240FA5" w:rsidRDefault="00240FA5" w:rsidP="00240FA5">
      <m:oMathPara>
        <m:oMath>
          <m:r>
            <w:rPr>
              <w:rFonts w:ascii="Cambria Math" w:hAnsi="Cambria Math"/>
            </w:rPr>
            <m:t xml:space="preserve">AMD= </m:t>
          </m:r>
          <m:f>
            <m:fPr>
              <m:ctrlPr>
                <w:rPr>
                  <w:rFonts w:ascii="Cambria Math" w:hAnsi="Cambria Math"/>
                  <w:i/>
                </w:rPr>
              </m:ctrlPr>
            </m:fPr>
            <m:num>
              <m:nary>
                <m:naryPr>
                  <m:chr m:val="∑"/>
                  <m:limLoc m:val="undOvr"/>
                  <m:subHide m:val="1"/>
                  <m:supHide m:val="1"/>
                  <m:ctrlPr>
                    <w:rPr>
                      <w:rFonts w:ascii="Cambria Math" w:hAnsi="Cambria Math"/>
                      <w:i/>
                    </w:rPr>
                  </m:ctrlPr>
                </m:naryPr>
                <m:sub/>
                <m:sup/>
                <m:e>
                  <m:d>
                    <m:dPr>
                      <m:begChr m:val="|"/>
                      <m:endChr m:val="|"/>
                      <m:ctrlPr>
                        <w:rPr>
                          <w:rFonts w:ascii="Cambria Math" w:hAnsi="Cambria Math"/>
                          <w:i/>
                        </w:rPr>
                      </m:ctrlPr>
                    </m:dPr>
                    <m:e>
                      <m:r>
                        <w:rPr>
                          <w:rFonts w:ascii="Cambria Math" w:hAnsi="Cambria Math"/>
                        </w:rPr>
                        <m:t>P-O</m:t>
                      </m:r>
                    </m:e>
                  </m:d>
                </m:e>
              </m:nary>
            </m:num>
            <m:den>
              <m:r>
                <w:rPr>
                  <w:rFonts w:ascii="Cambria Math" w:hAnsi="Cambria Math"/>
                </w:rPr>
                <m:t>N</m:t>
              </m:r>
            </m:den>
          </m:f>
        </m:oMath>
      </m:oMathPara>
    </w:p>
    <w:p w:rsidR="00240FA5" w:rsidRDefault="00240FA5" w:rsidP="00240FA5"/>
    <w:p w:rsidR="00240FA5" w:rsidRPr="003B5D3A" w:rsidRDefault="00240FA5" w:rsidP="00240FA5">
      <w:proofErr w:type="gramStart"/>
      <w:r w:rsidRPr="003B5D3A">
        <w:t>in</w:t>
      </w:r>
      <w:proofErr w:type="gramEnd"/>
      <w:r w:rsidRPr="003B5D3A">
        <w:t xml:space="preserve"> which:</w:t>
      </w:r>
    </w:p>
    <w:p w:rsidR="00240FA5" w:rsidRPr="003B5D3A" w:rsidRDefault="00240FA5" w:rsidP="00240FA5"/>
    <w:p w:rsidR="00240FA5" w:rsidRDefault="00240FA5" w:rsidP="00240FA5">
      <w:r>
        <w:t>AMD = absolute mean difference</w:t>
      </w:r>
    </w:p>
    <w:p w:rsidR="00240FA5" w:rsidRDefault="00240FA5" w:rsidP="00240FA5">
      <w:r>
        <w:t>O = observation</w:t>
      </w:r>
    </w:p>
    <w:p w:rsidR="00240FA5" w:rsidRDefault="00240FA5" w:rsidP="00240FA5">
      <w:r>
        <w:t>P = prediction</w:t>
      </w:r>
    </w:p>
    <w:p w:rsidR="00240FA5" w:rsidRDefault="00240FA5" w:rsidP="00240FA5">
      <w:r>
        <w:t>N = number of observations</w:t>
      </w:r>
    </w:p>
    <w:p w:rsidR="00240FA5" w:rsidRDefault="00240FA5" w:rsidP="00240FA5"/>
    <w:p w:rsidR="00240FA5" w:rsidRDefault="00240FA5" w:rsidP="008804C5">
      <w:r>
        <w:t xml:space="preserve">The absolute mean difference is a measure of the characteristic difference between individual observations and computations.  An absolute mean difference of zero indicates the model perfectly reproduces each observation.  </w:t>
      </w:r>
    </w:p>
    <w:p w:rsidR="00240FA5" w:rsidRDefault="00240FA5" w:rsidP="00240FA5">
      <w:pPr>
        <w:spacing w:line="320" w:lineRule="atLeast"/>
        <w:ind w:firstLine="720"/>
      </w:pPr>
    </w:p>
    <w:p w:rsidR="00AE7E7F" w:rsidRDefault="00171B08" w:rsidP="00240FA5">
      <w:pPr>
        <w:ind w:firstLine="720"/>
      </w:pPr>
      <w:r>
        <w:t>S</w:t>
      </w:r>
      <w:r w:rsidR="00240FA5">
        <w:t>tatistics</w:t>
      </w:r>
      <w:r>
        <w:t xml:space="preserve"> were determined using the model-data pairs employed </w:t>
      </w:r>
      <w:r w:rsidR="00240FA5">
        <w:t xml:space="preserve">in the </w:t>
      </w:r>
      <w:r w:rsidR="00AE7E7F">
        <w:t xml:space="preserve">model validation </w:t>
      </w:r>
      <w:r w:rsidR="00240FA5">
        <w:t>time series plots</w:t>
      </w:r>
      <w:r w:rsidR="00AE7E7F">
        <w:t xml:space="preserve"> </w:t>
      </w:r>
      <w:r>
        <w:t>and grouped into systems</w:t>
      </w:r>
      <w:r w:rsidR="00AE7E7F">
        <w:t xml:space="preserve">.  Results indicate the AOM and PAM deliver comparable performance in the </w:t>
      </w:r>
      <w:proofErr w:type="spellStart"/>
      <w:r w:rsidR="00AE7E7F">
        <w:t>mainstem</w:t>
      </w:r>
      <w:proofErr w:type="spellEnd"/>
      <w:r w:rsidR="00AE7E7F">
        <w:t xml:space="preserve"> Bay (Figure </w:t>
      </w:r>
      <w:r w:rsidR="00426227">
        <w:t>3-</w:t>
      </w:r>
      <w:r w:rsidR="00AE7E7F">
        <w:t>2).  For most other regions of the system, AMD is lower for the PAM than the AOM.  Only in the Potomac River are results from the AOM superior</w:t>
      </w:r>
      <w:r w:rsidR="00D84897">
        <w:t xml:space="preserve"> to the PA</w:t>
      </w:r>
      <w:r w:rsidR="00AE7E7F">
        <w:t xml:space="preserve">M.  </w:t>
      </w:r>
      <w:r w:rsidR="008D2624">
        <w:t xml:space="preserve">These results should not be interpreted that PAMs are superior to AOMs.  AOMs such as the one employed in the 2010 study are based on rigorous physics and are preferred in applications which emphasize optical properties of surface waters.  The less rigorous PAM described here is suitable, however, to describe light attenuation in a study such as this one and is advantageous in terms of computational requirements and data requirements. </w:t>
      </w:r>
      <w:r w:rsidR="00240FA5">
        <w:t xml:space="preserve"> </w:t>
      </w:r>
    </w:p>
    <w:p w:rsidR="000602F0" w:rsidRPr="002B3ECD" w:rsidRDefault="000602F0">
      <w:pPr>
        <w:rPr>
          <w:rFonts w:cs="Times New Roman"/>
        </w:rPr>
      </w:pPr>
    </w:p>
    <w:p w:rsidR="000602F0" w:rsidRPr="00815D30" w:rsidRDefault="000602F0">
      <w:pPr>
        <w:rPr>
          <w:rFonts w:ascii="Arial" w:hAnsi="Arial"/>
          <w:b/>
          <w:sz w:val="28"/>
          <w:szCs w:val="28"/>
        </w:rPr>
      </w:pPr>
      <w:r w:rsidRPr="00815D30">
        <w:rPr>
          <w:rFonts w:ascii="Arial" w:hAnsi="Arial"/>
          <w:b/>
          <w:sz w:val="28"/>
          <w:szCs w:val="28"/>
        </w:rPr>
        <w:t>References</w:t>
      </w:r>
    </w:p>
    <w:p w:rsidR="000602F0" w:rsidRPr="002B3ECD" w:rsidRDefault="000602F0">
      <w:pPr>
        <w:rPr>
          <w:rFonts w:cs="Times New Roman"/>
        </w:rPr>
      </w:pPr>
    </w:p>
    <w:p w:rsidR="00001465" w:rsidRDefault="00001465" w:rsidP="00001465">
      <w:pPr>
        <w:ind w:left="720" w:hanging="720"/>
        <w:rPr>
          <w:rFonts w:cs="Times New Roman"/>
        </w:rPr>
      </w:pPr>
      <w:proofErr w:type="spellStart"/>
      <w:proofErr w:type="gramStart"/>
      <w:r w:rsidRPr="002B3ECD">
        <w:rPr>
          <w:rFonts w:cs="Times New Roman"/>
        </w:rPr>
        <w:t>Cerco</w:t>
      </w:r>
      <w:proofErr w:type="spellEnd"/>
      <w:r w:rsidRPr="002B3ECD">
        <w:rPr>
          <w:rFonts w:cs="Times New Roman"/>
        </w:rPr>
        <w:t>, C.F. and Cole, T. M. (1994).</w:t>
      </w:r>
      <w:proofErr w:type="gramEnd"/>
      <w:r w:rsidRPr="002B3ECD">
        <w:rPr>
          <w:rFonts w:cs="Times New Roman"/>
        </w:rPr>
        <w:t xml:space="preserve"> </w:t>
      </w:r>
      <w:proofErr w:type="gramStart"/>
      <w:r w:rsidRPr="002B3ECD">
        <w:rPr>
          <w:rFonts w:cs="Times New Roman"/>
        </w:rPr>
        <w:t>“Three-dimensional eutrophication model of Chesapeake Bay,” Technical Report EL-94-4, U.S. Army Engineer Waterways Experiment Station, Vicksburg MS.</w:t>
      </w:r>
      <w:proofErr w:type="gramEnd"/>
    </w:p>
    <w:p w:rsidR="00D84897" w:rsidRDefault="00D84897" w:rsidP="00001465">
      <w:pPr>
        <w:ind w:left="720" w:hanging="720"/>
        <w:rPr>
          <w:rFonts w:cs="Times New Roman"/>
        </w:rPr>
      </w:pPr>
    </w:p>
    <w:p w:rsidR="002479E7" w:rsidRDefault="002479E7" w:rsidP="002479E7">
      <w:pPr>
        <w:ind w:left="720" w:hanging="720"/>
      </w:pPr>
      <w:proofErr w:type="spellStart"/>
      <w:proofErr w:type="gramStart"/>
      <w:r>
        <w:t>Cerco</w:t>
      </w:r>
      <w:proofErr w:type="spellEnd"/>
      <w:r>
        <w:t>, C., Kim, S.-C.</w:t>
      </w:r>
      <w:proofErr w:type="gramEnd"/>
      <w:r>
        <w:t xml:space="preserve"> </w:t>
      </w:r>
      <w:proofErr w:type="gramStart"/>
      <w:r>
        <w:t>and</w:t>
      </w:r>
      <w:proofErr w:type="gramEnd"/>
      <w:r>
        <w:t xml:space="preserve"> Noel, M. (2010). </w:t>
      </w:r>
      <w:proofErr w:type="gramStart"/>
      <w:r>
        <w:t>“The 2010 Chesapeake Bay eutrophication model,” Chesapeake Bay Program Office, US Environmental Protection Agency, Annapolis MD.</w:t>
      </w:r>
      <w:proofErr w:type="gramEnd"/>
      <w:r>
        <w:t xml:space="preserve"> (</w:t>
      </w:r>
      <w:proofErr w:type="gramStart"/>
      <w:r>
        <w:t>available</w:t>
      </w:r>
      <w:proofErr w:type="gramEnd"/>
      <w:r>
        <w:t xml:space="preserve"> at </w:t>
      </w:r>
      <w:r w:rsidRPr="002479E7">
        <w:t>http://www.chesapeakebay.net/publications/title/the_2010_chesapeake_bay_eutrophication_model1</w:t>
      </w:r>
      <w:r>
        <w:t>)</w:t>
      </w:r>
    </w:p>
    <w:p w:rsidR="002479E7" w:rsidRDefault="002479E7" w:rsidP="00001465">
      <w:pPr>
        <w:ind w:left="720" w:hanging="720"/>
        <w:rPr>
          <w:rFonts w:cs="Times New Roman"/>
        </w:rPr>
      </w:pPr>
    </w:p>
    <w:p w:rsidR="00D84897" w:rsidRPr="002B3ECD" w:rsidRDefault="00D84897" w:rsidP="00001465">
      <w:pPr>
        <w:ind w:left="720" w:hanging="720"/>
        <w:rPr>
          <w:rFonts w:cs="Times New Roman"/>
        </w:rPr>
      </w:pPr>
      <w:proofErr w:type="gramStart"/>
      <w:r>
        <w:rPr>
          <w:rFonts w:cs="Times New Roman"/>
        </w:rPr>
        <w:t xml:space="preserve">Laws, </w:t>
      </w:r>
      <w:r w:rsidR="00660211">
        <w:rPr>
          <w:rFonts w:cs="Times New Roman"/>
        </w:rPr>
        <w:t>E., and Archie, J. (1981).</w:t>
      </w:r>
      <w:proofErr w:type="gramEnd"/>
      <w:r w:rsidR="00660211">
        <w:rPr>
          <w:rFonts w:cs="Times New Roman"/>
        </w:rPr>
        <w:t xml:space="preserve"> </w:t>
      </w:r>
      <w:proofErr w:type="gramStart"/>
      <w:r w:rsidR="00660211">
        <w:rPr>
          <w:rFonts w:cs="Times New Roman"/>
        </w:rPr>
        <w:t xml:space="preserve">“Appropriate use of regression analysis in marine biology,” </w:t>
      </w:r>
      <w:r w:rsidR="00660211" w:rsidRPr="00660211">
        <w:rPr>
          <w:rFonts w:cs="Times New Roman"/>
          <w:i/>
        </w:rPr>
        <w:t>Marine Biology</w:t>
      </w:r>
      <w:r w:rsidR="00660211">
        <w:rPr>
          <w:rFonts w:cs="Times New Roman"/>
        </w:rPr>
        <w:t xml:space="preserve"> 65, 13-16.</w:t>
      </w:r>
      <w:proofErr w:type="gramEnd"/>
    </w:p>
    <w:p w:rsidR="00001465" w:rsidRDefault="00001465" w:rsidP="009763B2">
      <w:pPr>
        <w:ind w:left="720" w:hanging="720"/>
      </w:pPr>
    </w:p>
    <w:p w:rsidR="00874B73" w:rsidRPr="00874B73" w:rsidRDefault="00874B73" w:rsidP="00874B73">
      <w:pPr>
        <w:rPr>
          <w:rFonts w:cs="Times New Roman"/>
        </w:rPr>
      </w:pPr>
    </w:p>
    <w:p w:rsidR="00874B73" w:rsidRPr="00874B73" w:rsidRDefault="00874B73" w:rsidP="00874B73">
      <w:pPr>
        <w:rPr>
          <w:rFonts w:cs="Times New Roman"/>
        </w:rPr>
      </w:pPr>
    </w:p>
    <w:p w:rsidR="00565384" w:rsidRDefault="00565384" w:rsidP="00565384">
      <w:pPr>
        <w:keepNext/>
        <w:ind w:left="720" w:hanging="720"/>
        <w:rPr>
          <w:rFonts w:cs="Times New Roman"/>
        </w:rPr>
      </w:pPr>
    </w:p>
    <w:tbl>
      <w:tblPr>
        <w:tblStyle w:val="TableGrid"/>
        <w:tblW w:w="0" w:type="auto"/>
        <w:tblInd w:w="720"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674"/>
        <w:gridCol w:w="1674"/>
        <w:gridCol w:w="1674"/>
        <w:gridCol w:w="1674"/>
      </w:tblGrid>
      <w:tr w:rsidR="00EC2D35" w:rsidTr="00BA6165">
        <w:trPr>
          <w:trHeight w:val="720"/>
        </w:trPr>
        <w:tc>
          <w:tcPr>
            <w:tcW w:w="6696" w:type="dxa"/>
            <w:gridSpan w:val="4"/>
            <w:tcBorders>
              <w:bottom w:val="double" w:sz="4" w:space="0" w:color="auto"/>
            </w:tcBorders>
            <w:vAlign w:val="center"/>
          </w:tcPr>
          <w:p w:rsidR="00EC2D35" w:rsidRPr="008A6A02" w:rsidRDefault="00363228" w:rsidP="00BA6165">
            <w:pPr>
              <w:keepNext/>
              <w:rPr>
                <w:rFonts w:ascii="Arial" w:hAnsi="Arial"/>
                <w:b/>
              </w:rPr>
            </w:pPr>
            <w:r w:rsidRPr="008A6A02">
              <w:rPr>
                <w:rFonts w:ascii="Arial" w:hAnsi="Arial"/>
                <w:b/>
              </w:rPr>
              <w:t xml:space="preserve">Table </w:t>
            </w:r>
            <w:r w:rsidR="00426227">
              <w:rPr>
                <w:rFonts w:ascii="Arial" w:hAnsi="Arial"/>
                <w:b/>
              </w:rPr>
              <w:t>3-</w:t>
            </w:r>
            <w:r w:rsidRPr="008A6A02">
              <w:rPr>
                <w:rFonts w:ascii="Arial" w:hAnsi="Arial"/>
                <w:b/>
              </w:rPr>
              <w:t>1</w:t>
            </w:r>
          </w:p>
          <w:p w:rsidR="00363228" w:rsidRPr="008A6A02" w:rsidRDefault="00363228" w:rsidP="00BA6165">
            <w:pPr>
              <w:keepNext/>
              <w:rPr>
                <w:rFonts w:ascii="Arial" w:hAnsi="Arial"/>
              </w:rPr>
            </w:pPr>
            <w:r w:rsidRPr="008A6A02">
              <w:rPr>
                <w:rFonts w:ascii="Arial" w:hAnsi="Arial"/>
                <w:b/>
              </w:rPr>
              <w:t>Adjustments to Background Attenuation</w:t>
            </w:r>
          </w:p>
        </w:tc>
      </w:tr>
      <w:tr w:rsidR="003E3B4A" w:rsidTr="00BA6165">
        <w:trPr>
          <w:trHeight w:val="288"/>
        </w:trPr>
        <w:tc>
          <w:tcPr>
            <w:tcW w:w="1674" w:type="dxa"/>
            <w:tcBorders>
              <w:top w:val="double" w:sz="4" w:space="0" w:color="auto"/>
              <w:bottom w:val="double" w:sz="4" w:space="0" w:color="auto"/>
            </w:tcBorders>
            <w:vAlign w:val="center"/>
          </w:tcPr>
          <w:p w:rsidR="003E3B4A" w:rsidRPr="008A6A02" w:rsidRDefault="00363228" w:rsidP="00BA6165">
            <w:pPr>
              <w:keepNext/>
              <w:rPr>
                <w:rFonts w:ascii="Arial" w:hAnsi="Arial"/>
                <w:b/>
                <w:sz w:val="16"/>
                <w:szCs w:val="16"/>
              </w:rPr>
            </w:pPr>
            <w:r w:rsidRPr="008A6A02">
              <w:rPr>
                <w:rFonts w:ascii="Arial" w:hAnsi="Arial"/>
                <w:b/>
                <w:sz w:val="16"/>
                <w:szCs w:val="16"/>
              </w:rPr>
              <w:t>CBPS</w:t>
            </w:r>
          </w:p>
        </w:tc>
        <w:tc>
          <w:tcPr>
            <w:tcW w:w="1674" w:type="dxa"/>
            <w:tcBorders>
              <w:top w:val="double" w:sz="4" w:space="0" w:color="auto"/>
              <w:bottom w:val="double" w:sz="4" w:space="0" w:color="auto"/>
            </w:tcBorders>
            <w:vAlign w:val="center"/>
          </w:tcPr>
          <w:p w:rsidR="003E3B4A" w:rsidRPr="008A6A02" w:rsidRDefault="00363228" w:rsidP="00BA6165">
            <w:pPr>
              <w:keepNext/>
              <w:rPr>
                <w:rFonts w:ascii="Arial" w:hAnsi="Arial"/>
                <w:b/>
                <w:sz w:val="16"/>
                <w:szCs w:val="16"/>
              </w:rPr>
            </w:pPr>
            <w:r w:rsidRPr="008A6A02">
              <w:rPr>
                <w:rFonts w:ascii="Arial" w:hAnsi="Arial"/>
                <w:b/>
                <w:sz w:val="16"/>
                <w:szCs w:val="16"/>
              </w:rPr>
              <w:t>Adjustment</w:t>
            </w:r>
          </w:p>
        </w:tc>
        <w:tc>
          <w:tcPr>
            <w:tcW w:w="1674" w:type="dxa"/>
            <w:tcBorders>
              <w:top w:val="double" w:sz="4" w:space="0" w:color="auto"/>
              <w:bottom w:val="double" w:sz="4" w:space="0" w:color="auto"/>
            </w:tcBorders>
            <w:vAlign w:val="center"/>
          </w:tcPr>
          <w:p w:rsidR="003E3B4A" w:rsidRPr="008A6A02" w:rsidRDefault="00363228" w:rsidP="00BA6165">
            <w:pPr>
              <w:keepNext/>
              <w:rPr>
                <w:rFonts w:ascii="Arial" w:hAnsi="Arial"/>
                <w:b/>
                <w:sz w:val="16"/>
                <w:szCs w:val="16"/>
              </w:rPr>
            </w:pPr>
            <w:r w:rsidRPr="008A6A02">
              <w:rPr>
                <w:rFonts w:ascii="Arial" w:hAnsi="Arial"/>
                <w:b/>
                <w:sz w:val="16"/>
                <w:szCs w:val="16"/>
              </w:rPr>
              <w:t>CBPS</w:t>
            </w:r>
          </w:p>
        </w:tc>
        <w:tc>
          <w:tcPr>
            <w:tcW w:w="1674" w:type="dxa"/>
            <w:tcBorders>
              <w:top w:val="double" w:sz="4" w:space="0" w:color="auto"/>
              <w:bottom w:val="double" w:sz="4" w:space="0" w:color="auto"/>
            </w:tcBorders>
            <w:vAlign w:val="center"/>
          </w:tcPr>
          <w:p w:rsidR="003E3B4A" w:rsidRPr="008A6A02" w:rsidRDefault="00363228" w:rsidP="00BA6165">
            <w:pPr>
              <w:keepNext/>
              <w:rPr>
                <w:rFonts w:ascii="Arial" w:hAnsi="Arial"/>
                <w:b/>
                <w:sz w:val="16"/>
                <w:szCs w:val="16"/>
              </w:rPr>
            </w:pPr>
            <w:r w:rsidRPr="008A6A02">
              <w:rPr>
                <w:rFonts w:ascii="Arial" w:hAnsi="Arial"/>
                <w:b/>
                <w:sz w:val="16"/>
                <w:szCs w:val="16"/>
              </w:rPr>
              <w:t>Adjustment</w:t>
            </w:r>
          </w:p>
        </w:tc>
      </w:tr>
      <w:tr w:rsidR="003E3B4A" w:rsidTr="00BA6165">
        <w:trPr>
          <w:trHeight w:val="288"/>
        </w:trPr>
        <w:tc>
          <w:tcPr>
            <w:tcW w:w="1674" w:type="dxa"/>
            <w:tcBorders>
              <w:top w:val="double" w:sz="4" w:space="0" w:color="auto"/>
            </w:tcBorders>
            <w:vAlign w:val="center"/>
          </w:tcPr>
          <w:p w:rsidR="003E3B4A" w:rsidRPr="008A6A02" w:rsidRDefault="00363228" w:rsidP="00BA6165">
            <w:pPr>
              <w:keepNext/>
              <w:rPr>
                <w:rFonts w:ascii="Arial" w:hAnsi="Arial"/>
                <w:sz w:val="16"/>
                <w:szCs w:val="16"/>
              </w:rPr>
            </w:pPr>
            <w:r w:rsidRPr="008A6A02">
              <w:rPr>
                <w:rFonts w:ascii="Arial" w:hAnsi="Arial"/>
                <w:sz w:val="16"/>
                <w:szCs w:val="16"/>
              </w:rPr>
              <w:t>CB1</w:t>
            </w:r>
          </w:p>
        </w:tc>
        <w:tc>
          <w:tcPr>
            <w:tcW w:w="1674" w:type="dxa"/>
            <w:tcBorders>
              <w:top w:val="double" w:sz="4" w:space="0" w:color="auto"/>
            </w:tcBorders>
            <w:vAlign w:val="center"/>
          </w:tcPr>
          <w:p w:rsidR="003E3B4A" w:rsidRPr="008A6A02" w:rsidRDefault="008A6A02" w:rsidP="00BA6165">
            <w:pPr>
              <w:keepNext/>
              <w:rPr>
                <w:rFonts w:ascii="Arial" w:hAnsi="Arial"/>
                <w:sz w:val="16"/>
                <w:szCs w:val="16"/>
              </w:rPr>
            </w:pPr>
            <w:r w:rsidRPr="008A6A02">
              <w:rPr>
                <w:rFonts w:ascii="Arial" w:hAnsi="Arial"/>
                <w:sz w:val="16"/>
                <w:szCs w:val="16"/>
              </w:rPr>
              <w:t>-</w:t>
            </w:r>
            <w:r w:rsidR="00363228" w:rsidRPr="008A6A02">
              <w:rPr>
                <w:rFonts w:ascii="Arial" w:hAnsi="Arial"/>
                <w:sz w:val="16"/>
                <w:szCs w:val="16"/>
              </w:rPr>
              <w:t>0.4</w:t>
            </w:r>
          </w:p>
        </w:tc>
        <w:tc>
          <w:tcPr>
            <w:tcW w:w="1674" w:type="dxa"/>
            <w:tcBorders>
              <w:top w:val="double" w:sz="4" w:space="0" w:color="auto"/>
            </w:tcBorders>
            <w:vAlign w:val="center"/>
          </w:tcPr>
          <w:p w:rsidR="003E3B4A" w:rsidRPr="008A6A02" w:rsidRDefault="00363228" w:rsidP="00BA6165">
            <w:pPr>
              <w:keepNext/>
              <w:rPr>
                <w:rFonts w:ascii="Arial" w:hAnsi="Arial"/>
                <w:sz w:val="16"/>
                <w:szCs w:val="16"/>
              </w:rPr>
            </w:pPr>
            <w:r w:rsidRPr="008A6A02">
              <w:rPr>
                <w:rFonts w:ascii="Arial" w:hAnsi="Arial"/>
                <w:sz w:val="16"/>
                <w:szCs w:val="16"/>
              </w:rPr>
              <w:t>SBEMH</w:t>
            </w:r>
          </w:p>
        </w:tc>
        <w:tc>
          <w:tcPr>
            <w:tcW w:w="1674" w:type="dxa"/>
            <w:tcBorders>
              <w:top w:val="double" w:sz="4" w:space="0" w:color="auto"/>
            </w:tcBorders>
            <w:vAlign w:val="center"/>
          </w:tcPr>
          <w:p w:rsidR="003E3B4A" w:rsidRPr="008A6A02" w:rsidRDefault="008A6A02" w:rsidP="00BA6165">
            <w:pPr>
              <w:keepNext/>
              <w:rPr>
                <w:rFonts w:ascii="Arial" w:hAnsi="Arial"/>
                <w:sz w:val="16"/>
                <w:szCs w:val="16"/>
              </w:rPr>
            </w:pPr>
            <w:r w:rsidRPr="008A6A02">
              <w:rPr>
                <w:rFonts w:ascii="Arial" w:hAnsi="Arial"/>
                <w:sz w:val="16"/>
                <w:szCs w:val="16"/>
              </w:rPr>
              <w:t>+</w:t>
            </w:r>
            <w:r w:rsidR="00363228" w:rsidRPr="008A6A02">
              <w:rPr>
                <w:rFonts w:ascii="Arial" w:hAnsi="Arial"/>
                <w:sz w:val="16"/>
                <w:szCs w:val="16"/>
              </w:rPr>
              <w:t>0.6</w:t>
            </w:r>
          </w:p>
        </w:tc>
      </w:tr>
      <w:tr w:rsidR="003E3B4A" w:rsidTr="00BA6165">
        <w:trPr>
          <w:trHeight w:val="288"/>
        </w:trPr>
        <w:tc>
          <w:tcPr>
            <w:tcW w:w="1674" w:type="dxa"/>
            <w:vAlign w:val="center"/>
          </w:tcPr>
          <w:p w:rsidR="003E3B4A" w:rsidRPr="008A6A02" w:rsidRDefault="00363228" w:rsidP="00BA6165">
            <w:pPr>
              <w:keepNext/>
              <w:rPr>
                <w:rFonts w:ascii="Arial" w:hAnsi="Arial"/>
                <w:sz w:val="16"/>
                <w:szCs w:val="16"/>
              </w:rPr>
            </w:pPr>
            <w:r w:rsidRPr="008A6A02">
              <w:rPr>
                <w:rFonts w:ascii="Arial" w:hAnsi="Arial"/>
                <w:sz w:val="16"/>
                <w:szCs w:val="16"/>
              </w:rPr>
              <w:t>CB2</w:t>
            </w:r>
          </w:p>
        </w:tc>
        <w:tc>
          <w:tcPr>
            <w:tcW w:w="1674" w:type="dxa"/>
            <w:vAlign w:val="center"/>
          </w:tcPr>
          <w:p w:rsidR="003E3B4A" w:rsidRPr="008A6A02" w:rsidRDefault="008A6A02" w:rsidP="00BA6165">
            <w:pPr>
              <w:keepNext/>
              <w:rPr>
                <w:rFonts w:ascii="Arial" w:hAnsi="Arial"/>
                <w:sz w:val="16"/>
                <w:szCs w:val="16"/>
              </w:rPr>
            </w:pPr>
            <w:r w:rsidRPr="008A6A02">
              <w:rPr>
                <w:rFonts w:ascii="Arial" w:hAnsi="Arial"/>
                <w:sz w:val="16"/>
                <w:szCs w:val="16"/>
              </w:rPr>
              <w:t>-</w:t>
            </w:r>
            <w:r w:rsidR="00363228" w:rsidRPr="008A6A02">
              <w:rPr>
                <w:rFonts w:ascii="Arial" w:hAnsi="Arial"/>
                <w:sz w:val="16"/>
                <w:szCs w:val="16"/>
              </w:rPr>
              <w:t>0.3</w:t>
            </w:r>
          </w:p>
        </w:tc>
        <w:tc>
          <w:tcPr>
            <w:tcW w:w="1674" w:type="dxa"/>
            <w:vAlign w:val="center"/>
          </w:tcPr>
          <w:p w:rsidR="003E3B4A" w:rsidRPr="008A6A02" w:rsidRDefault="00363228" w:rsidP="00BA6165">
            <w:pPr>
              <w:keepNext/>
              <w:rPr>
                <w:rFonts w:ascii="Arial" w:hAnsi="Arial"/>
                <w:sz w:val="16"/>
                <w:szCs w:val="16"/>
              </w:rPr>
            </w:pPr>
            <w:r w:rsidRPr="008A6A02">
              <w:rPr>
                <w:rFonts w:ascii="Arial" w:hAnsi="Arial"/>
                <w:sz w:val="16"/>
                <w:szCs w:val="16"/>
              </w:rPr>
              <w:t>WBEMH</w:t>
            </w:r>
          </w:p>
        </w:tc>
        <w:tc>
          <w:tcPr>
            <w:tcW w:w="1674" w:type="dxa"/>
            <w:vAlign w:val="center"/>
          </w:tcPr>
          <w:p w:rsidR="003E3B4A" w:rsidRPr="008A6A02" w:rsidRDefault="008A6A02" w:rsidP="00BA6165">
            <w:pPr>
              <w:keepNext/>
              <w:rPr>
                <w:rFonts w:ascii="Arial" w:hAnsi="Arial"/>
                <w:sz w:val="16"/>
                <w:szCs w:val="16"/>
              </w:rPr>
            </w:pPr>
            <w:r w:rsidRPr="008A6A02">
              <w:rPr>
                <w:rFonts w:ascii="Arial" w:hAnsi="Arial"/>
                <w:sz w:val="16"/>
                <w:szCs w:val="16"/>
              </w:rPr>
              <w:t>+</w:t>
            </w:r>
            <w:r w:rsidR="00363228" w:rsidRPr="008A6A02">
              <w:rPr>
                <w:rFonts w:ascii="Arial" w:hAnsi="Arial"/>
                <w:sz w:val="16"/>
                <w:szCs w:val="16"/>
              </w:rPr>
              <w:t>0.6</w:t>
            </w:r>
          </w:p>
        </w:tc>
      </w:tr>
      <w:tr w:rsidR="003E3B4A" w:rsidTr="00BA6165">
        <w:trPr>
          <w:trHeight w:val="288"/>
        </w:trPr>
        <w:tc>
          <w:tcPr>
            <w:tcW w:w="1674" w:type="dxa"/>
            <w:vAlign w:val="center"/>
          </w:tcPr>
          <w:p w:rsidR="003E3B4A" w:rsidRPr="008A6A02" w:rsidRDefault="00363228" w:rsidP="00BA6165">
            <w:pPr>
              <w:keepNext/>
              <w:rPr>
                <w:rFonts w:ascii="Arial" w:hAnsi="Arial"/>
                <w:sz w:val="16"/>
                <w:szCs w:val="16"/>
              </w:rPr>
            </w:pPr>
            <w:r w:rsidRPr="008A6A02">
              <w:rPr>
                <w:rFonts w:ascii="Arial" w:hAnsi="Arial"/>
                <w:sz w:val="16"/>
                <w:szCs w:val="16"/>
              </w:rPr>
              <w:t>CB3</w:t>
            </w:r>
          </w:p>
        </w:tc>
        <w:tc>
          <w:tcPr>
            <w:tcW w:w="1674" w:type="dxa"/>
            <w:vAlign w:val="center"/>
          </w:tcPr>
          <w:p w:rsidR="003E3B4A" w:rsidRPr="008A6A02" w:rsidRDefault="008A6A02" w:rsidP="00BA6165">
            <w:pPr>
              <w:keepNext/>
              <w:rPr>
                <w:rFonts w:ascii="Arial" w:hAnsi="Arial"/>
                <w:sz w:val="16"/>
                <w:szCs w:val="16"/>
              </w:rPr>
            </w:pPr>
            <w:r w:rsidRPr="008A6A02">
              <w:rPr>
                <w:rFonts w:ascii="Arial" w:hAnsi="Arial"/>
                <w:sz w:val="16"/>
                <w:szCs w:val="16"/>
              </w:rPr>
              <w:t>-</w:t>
            </w:r>
            <w:r w:rsidR="00363228" w:rsidRPr="008A6A02">
              <w:rPr>
                <w:rFonts w:ascii="Arial" w:hAnsi="Arial"/>
                <w:sz w:val="16"/>
                <w:szCs w:val="16"/>
              </w:rPr>
              <w:t>0.3</w:t>
            </w:r>
          </w:p>
        </w:tc>
        <w:tc>
          <w:tcPr>
            <w:tcW w:w="1674" w:type="dxa"/>
            <w:vAlign w:val="center"/>
          </w:tcPr>
          <w:p w:rsidR="003E3B4A" w:rsidRPr="008A6A02" w:rsidRDefault="00363228" w:rsidP="00BA6165">
            <w:pPr>
              <w:keepNext/>
              <w:rPr>
                <w:rFonts w:ascii="Arial" w:hAnsi="Arial"/>
                <w:sz w:val="16"/>
                <w:szCs w:val="16"/>
              </w:rPr>
            </w:pPr>
            <w:r w:rsidRPr="008A6A02">
              <w:rPr>
                <w:rFonts w:ascii="Arial" w:hAnsi="Arial"/>
                <w:sz w:val="16"/>
                <w:szCs w:val="16"/>
              </w:rPr>
              <w:t>LAFMH</w:t>
            </w:r>
          </w:p>
        </w:tc>
        <w:tc>
          <w:tcPr>
            <w:tcW w:w="1674" w:type="dxa"/>
            <w:vAlign w:val="center"/>
          </w:tcPr>
          <w:p w:rsidR="003E3B4A" w:rsidRPr="008A6A02" w:rsidRDefault="008A6A02" w:rsidP="00BA6165">
            <w:pPr>
              <w:keepNext/>
              <w:rPr>
                <w:rFonts w:ascii="Arial" w:hAnsi="Arial"/>
                <w:sz w:val="16"/>
                <w:szCs w:val="16"/>
              </w:rPr>
            </w:pPr>
            <w:r w:rsidRPr="008A6A02">
              <w:rPr>
                <w:rFonts w:ascii="Arial" w:hAnsi="Arial"/>
                <w:sz w:val="16"/>
                <w:szCs w:val="16"/>
              </w:rPr>
              <w:t>+</w:t>
            </w:r>
            <w:r w:rsidR="00363228" w:rsidRPr="008A6A02">
              <w:rPr>
                <w:rFonts w:ascii="Arial" w:hAnsi="Arial"/>
                <w:sz w:val="16"/>
                <w:szCs w:val="16"/>
              </w:rPr>
              <w:t>0.6</w:t>
            </w:r>
          </w:p>
        </w:tc>
      </w:tr>
      <w:tr w:rsidR="003E3B4A" w:rsidTr="00BA6165">
        <w:trPr>
          <w:trHeight w:val="288"/>
        </w:trPr>
        <w:tc>
          <w:tcPr>
            <w:tcW w:w="1674" w:type="dxa"/>
            <w:vAlign w:val="center"/>
          </w:tcPr>
          <w:p w:rsidR="003E3B4A" w:rsidRPr="008A6A02" w:rsidRDefault="00363228" w:rsidP="00BA6165">
            <w:pPr>
              <w:keepNext/>
              <w:rPr>
                <w:rFonts w:ascii="Arial" w:hAnsi="Arial"/>
                <w:sz w:val="16"/>
                <w:szCs w:val="16"/>
              </w:rPr>
            </w:pPr>
            <w:r w:rsidRPr="008A6A02">
              <w:rPr>
                <w:rFonts w:ascii="Arial" w:hAnsi="Arial"/>
                <w:sz w:val="16"/>
                <w:szCs w:val="16"/>
              </w:rPr>
              <w:t>CB4</w:t>
            </w:r>
          </w:p>
        </w:tc>
        <w:tc>
          <w:tcPr>
            <w:tcW w:w="1674" w:type="dxa"/>
            <w:vAlign w:val="center"/>
          </w:tcPr>
          <w:p w:rsidR="003E3B4A" w:rsidRPr="008A6A02" w:rsidRDefault="008A6A02" w:rsidP="00BA6165">
            <w:pPr>
              <w:keepNext/>
              <w:rPr>
                <w:rFonts w:ascii="Arial" w:hAnsi="Arial"/>
                <w:sz w:val="16"/>
                <w:szCs w:val="16"/>
              </w:rPr>
            </w:pPr>
            <w:r w:rsidRPr="008A6A02">
              <w:rPr>
                <w:rFonts w:ascii="Arial" w:hAnsi="Arial"/>
                <w:sz w:val="16"/>
                <w:szCs w:val="16"/>
              </w:rPr>
              <w:t>-</w:t>
            </w:r>
            <w:r w:rsidR="00363228" w:rsidRPr="008A6A02">
              <w:rPr>
                <w:rFonts w:ascii="Arial" w:hAnsi="Arial"/>
                <w:sz w:val="16"/>
                <w:szCs w:val="16"/>
              </w:rPr>
              <w:t>0.</w:t>
            </w:r>
            <w:r>
              <w:rPr>
                <w:rFonts w:ascii="Arial" w:hAnsi="Arial"/>
                <w:sz w:val="16"/>
                <w:szCs w:val="16"/>
              </w:rPr>
              <w:t>3</w:t>
            </w:r>
          </w:p>
        </w:tc>
        <w:tc>
          <w:tcPr>
            <w:tcW w:w="1674" w:type="dxa"/>
            <w:vAlign w:val="center"/>
          </w:tcPr>
          <w:p w:rsidR="003E3B4A" w:rsidRPr="008A6A02" w:rsidRDefault="00363228" w:rsidP="00BA6165">
            <w:pPr>
              <w:keepNext/>
              <w:rPr>
                <w:rFonts w:ascii="Arial" w:hAnsi="Arial"/>
                <w:sz w:val="16"/>
                <w:szCs w:val="16"/>
              </w:rPr>
            </w:pPr>
            <w:r w:rsidRPr="008A6A02">
              <w:rPr>
                <w:rFonts w:ascii="Arial" w:hAnsi="Arial"/>
                <w:sz w:val="16"/>
                <w:szCs w:val="16"/>
              </w:rPr>
              <w:t>POTOH</w:t>
            </w:r>
          </w:p>
        </w:tc>
        <w:tc>
          <w:tcPr>
            <w:tcW w:w="1674" w:type="dxa"/>
            <w:vAlign w:val="center"/>
          </w:tcPr>
          <w:p w:rsidR="003E3B4A" w:rsidRPr="008A6A02" w:rsidRDefault="008A6A02" w:rsidP="00BA6165">
            <w:pPr>
              <w:keepNext/>
              <w:rPr>
                <w:rFonts w:ascii="Arial" w:hAnsi="Arial"/>
                <w:sz w:val="16"/>
                <w:szCs w:val="16"/>
              </w:rPr>
            </w:pPr>
            <w:r w:rsidRPr="008A6A02">
              <w:rPr>
                <w:rFonts w:ascii="Arial" w:hAnsi="Arial"/>
                <w:sz w:val="16"/>
                <w:szCs w:val="16"/>
              </w:rPr>
              <w:t>-</w:t>
            </w:r>
            <w:r w:rsidR="00363228" w:rsidRPr="008A6A02">
              <w:rPr>
                <w:rFonts w:ascii="Arial" w:hAnsi="Arial"/>
                <w:sz w:val="16"/>
                <w:szCs w:val="16"/>
              </w:rPr>
              <w:t>0.4</w:t>
            </w:r>
          </w:p>
        </w:tc>
      </w:tr>
      <w:tr w:rsidR="003E3B4A" w:rsidTr="00BA6165">
        <w:trPr>
          <w:trHeight w:val="288"/>
        </w:trPr>
        <w:tc>
          <w:tcPr>
            <w:tcW w:w="1674" w:type="dxa"/>
            <w:vAlign w:val="center"/>
          </w:tcPr>
          <w:p w:rsidR="003E3B4A" w:rsidRPr="008A6A02" w:rsidRDefault="00363228" w:rsidP="00BA6165">
            <w:pPr>
              <w:keepNext/>
              <w:rPr>
                <w:rFonts w:ascii="Arial" w:hAnsi="Arial"/>
                <w:sz w:val="16"/>
                <w:szCs w:val="16"/>
              </w:rPr>
            </w:pPr>
            <w:r w:rsidRPr="008A6A02">
              <w:rPr>
                <w:rFonts w:ascii="Arial" w:hAnsi="Arial"/>
                <w:sz w:val="16"/>
                <w:szCs w:val="16"/>
              </w:rPr>
              <w:t>CB5</w:t>
            </w:r>
          </w:p>
        </w:tc>
        <w:tc>
          <w:tcPr>
            <w:tcW w:w="1674" w:type="dxa"/>
            <w:vAlign w:val="center"/>
          </w:tcPr>
          <w:p w:rsidR="003E3B4A" w:rsidRPr="008A6A02" w:rsidRDefault="008A6A02" w:rsidP="00BA6165">
            <w:pPr>
              <w:keepNext/>
              <w:rPr>
                <w:rFonts w:ascii="Arial" w:hAnsi="Arial"/>
                <w:sz w:val="16"/>
                <w:szCs w:val="16"/>
              </w:rPr>
            </w:pPr>
            <w:r w:rsidRPr="008A6A02">
              <w:rPr>
                <w:rFonts w:ascii="Arial" w:hAnsi="Arial"/>
                <w:sz w:val="16"/>
                <w:szCs w:val="16"/>
              </w:rPr>
              <w:t>-</w:t>
            </w:r>
            <w:r w:rsidR="00363228" w:rsidRPr="008A6A02">
              <w:rPr>
                <w:rFonts w:ascii="Arial" w:hAnsi="Arial"/>
                <w:sz w:val="16"/>
                <w:szCs w:val="16"/>
              </w:rPr>
              <w:t>0.3</w:t>
            </w:r>
          </w:p>
        </w:tc>
        <w:tc>
          <w:tcPr>
            <w:tcW w:w="1674" w:type="dxa"/>
            <w:vAlign w:val="center"/>
          </w:tcPr>
          <w:p w:rsidR="003E3B4A" w:rsidRPr="008A6A02" w:rsidRDefault="00363228" w:rsidP="00BA6165">
            <w:pPr>
              <w:keepNext/>
              <w:rPr>
                <w:rFonts w:ascii="Arial" w:hAnsi="Arial"/>
                <w:sz w:val="16"/>
                <w:szCs w:val="16"/>
              </w:rPr>
            </w:pPr>
            <w:r w:rsidRPr="008A6A02">
              <w:rPr>
                <w:rFonts w:ascii="Arial" w:hAnsi="Arial"/>
                <w:sz w:val="16"/>
                <w:szCs w:val="16"/>
              </w:rPr>
              <w:t>YRKMH</w:t>
            </w:r>
          </w:p>
        </w:tc>
        <w:tc>
          <w:tcPr>
            <w:tcW w:w="1674" w:type="dxa"/>
            <w:vAlign w:val="center"/>
          </w:tcPr>
          <w:p w:rsidR="003E3B4A" w:rsidRPr="008A6A02" w:rsidRDefault="008A6A02" w:rsidP="00BA6165">
            <w:pPr>
              <w:keepNext/>
              <w:rPr>
                <w:rFonts w:ascii="Arial" w:hAnsi="Arial"/>
                <w:sz w:val="16"/>
                <w:szCs w:val="16"/>
              </w:rPr>
            </w:pPr>
            <w:r w:rsidRPr="008A6A02">
              <w:rPr>
                <w:rFonts w:ascii="Arial" w:hAnsi="Arial"/>
                <w:sz w:val="16"/>
                <w:szCs w:val="16"/>
              </w:rPr>
              <w:t>+</w:t>
            </w:r>
            <w:r w:rsidR="00363228" w:rsidRPr="008A6A02">
              <w:rPr>
                <w:rFonts w:ascii="Arial" w:hAnsi="Arial"/>
                <w:sz w:val="16"/>
                <w:szCs w:val="16"/>
              </w:rPr>
              <w:t>0.5</w:t>
            </w:r>
          </w:p>
        </w:tc>
      </w:tr>
      <w:tr w:rsidR="003E3B4A" w:rsidTr="00BA6165">
        <w:trPr>
          <w:trHeight w:val="288"/>
        </w:trPr>
        <w:tc>
          <w:tcPr>
            <w:tcW w:w="1674" w:type="dxa"/>
            <w:vAlign w:val="center"/>
          </w:tcPr>
          <w:p w:rsidR="003E3B4A" w:rsidRPr="008A6A02" w:rsidRDefault="00363228" w:rsidP="00BA6165">
            <w:pPr>
              <w:keepNext/>
              <w:rPr>
                <w:rFonts w:ascii="Arial" w:hAnsi="Arial"/>
                <w:sz w:val="16"/>
                <w:szCs w:val="16"/>
              </w:rPr>
            </w:pPr>
            <w:r w:rsidRPr="008A6A02">
              <w:rPr>
                <w:rFonts w:ascii="Arial" w:hAnsi="Arial"/>
                <w:sz w:val="16"/>
                <w:szCs w:val="16"/>
              </w:rPr>
              <w:t>BOHOH</w:t>
            </w:r>
          </w:p>
        </w:tc>
        <w:tc>
          <w:tcPr>
            <w:tcW w:w="1674" w:type="dxa"/>
            <w:vAlign w:val="center"/>
          </w:tcPr>
          <w:p w:rsidR="003E3B4A" w:rsidRPr="008A6A02" w:rsidRDefault="008A6A02" w:rsidP="00BA6165">
            <w:pPr>
              <w:keepNext/>
              <w:rPr>
                <w:rFonts w:ascii="Arial" w:hAnsi="Arial"/>
                <w:sz w:val="16"/>
                <w:szCs w:val="16"/>
              </w:rPr>
            </w:pPr>
            <w:r w:rsidRPr="008A6A02">
              <w:rPr>
                <w:rFonts w:ascii="Arial" w:hAnsi="Arial"/>
                <w:sz w:val="16"/>
                <w:szCs w:val="16"/>
              </w:rPr>
              <w:t>+</w:t>
            </w:r>
            <w:r w:rsidR="00363228" w:rsidRPr="008A6A02">
              <w:rPr>
                <w:rFonts w:ascii="Arial" w:hAnsi="Arial"/>
                <w:sz w:val="16"/>
                <w:szCs w:val="16"/>
              </w:rPr>
              <w:t>0.7</w:t>
            </w:r>
          </w:p>
        </w:tc>
        <w:tc>
          <w:tcPr>
            <w:tcW w:w="1674" w:type="dxa"/>
            <w:vAlign w:val="center"/>
          </w:tcPr>
          <w:p w:rsidR="003E3B4A" w:rsidRPr="008A6A02" w:rsidRDefault="00363228" w:rsidP="00BA6165">
            <w:pPr>
              <w:keepNext/>
              <w:rPr>
                <w:rFonts w:ascii="Arial" w:hAnsi="Arial"/>
                <w:sz w:val="16"/>
                <w:szCs w:val="16"/>
              </w:rPr>
            </w:pPr>
            <w:r w:rsidRPr="008A6A02">
              <w:rPr>
                <w:rFonts w:ascii="Arial" w:hAnsi="Arial"/>
                <w:sz w:val="16"/>
                <w:szCs w:val="16"/>
              </w:rPr>
              <w:t>POTTF</w:t>
            </w:r>
          </w:p>
        </w:tc>
        <w:tc>
          <w:tcPr>
            <w:tcW w:w="1674" w:type="dxa"/>
            <w:vAlign w:val="center"/>
          </w:tcPr>
          <w:p w:rsidR="003E3B4A" w:rsidRPr="008A6A02" w:rsidRDefault="008A6A02" w:rsidP="00BA6165">
            <w:pPr>
              <w:keepNext/>
              <w:rPr>
                <w:rFonts w:ascii="Arial" w:hAnsi="Arial"/>
                <w:sz w:val="16"/>
                <w:szCs w:val="16"/>
              </w:rPr>
            </w:pPr>
            <w:r w:rsidRPr="008A6A02">
              <w:rPr>
                <w:rFonts w:ascii="Arial" w:hAnsi="Arial"/>
                <w:sz w:val="16"/>
                <w:szCs w:val="16"/>
              </w:rPr>
              <w:t>-</w:t>
            </w:r>
            <w:r w:rsidR="00363228" w:rsidRPr="008A6A02">
              <w:rPr>
                <w:rFonts w:ascii="Arial" w:hAnsi="Arial"/>
                <w:sz w:val="16"/>
                <w:szCs w:val="16"/>
              </w:rPr>
              <w:t>0.4</w:t>
            </w:r>
          </w:p>
        </w:tc>
      </w:tr>
      <w:tr w:rsidR="003E3B4A" w:rsidTr="00BA6165">
        <w:trPr>
          <w:trHeight w:val="288"/>
        </w:trPr>
        <w:tc>
          <w:tcPr>
            <w:tcW w:w="1674" w:type="dxa"/>
            <w:vAlign w:val="center"/>
          </w:tcPr>
          <w:p w:rsidR="003E3B4A" w:rsidRPr="008A6A02" w:rsidRDefault="00363228" w:rsidP="00BA6165">
            <w:pPr>
              <w:keepNext/>
              <w:rPr>
                <w:rFonts w:ascii="Arial" w:hAnsi="Arial"/>
                <w:sz w:val="16"/>
                <w:szCs w:val="16"/>
              </w:rPr>
            </w:pPr>
            <w:r w:rsidRPr="008A6A02">
              <w:rPr>
                <w:rFonts w:ascii="Arial" w:hAnsi="Arial"/>
                <w:sz w:val="16"/>
                <w:szCs w:val="16"/>
              </w:rPr>
              <w:t>CHSTF</w:t>
            </w:r>
          </w:p>
        </w:tc>
        <w:tc>
          <w:tcPr>
            <w:tcW w:w="1674" w:type="dxa"/>
            <w:vAlign w:val="center"/>
          </w:tcPr>
          <w:p w:rsidR="003E3B4A" w:rsidRPr="008A6A02" w:rsidRDefault="008A6A02" w:rsidP="00BA6165">
            <w:pPr>
              <w:keepNext/>
              <w:rPr>
                <w:rFonts w:ascii="Arial" w:hAnsi="Arial"/>
                <w:sz w:val="16"/>
                <w:szCs w:val="16"/>
              </w:rPr>
            </w:pPr>
            <w:r w:rsidRPr="008A6A02">
              <w:rPr>
                <w:rFonts w:ascii="Arial" w:hAnsi="Arial"/>
                <w:sz w:val="16"/>
                <w:szCs w:val="16"/>
              </w:rPr>
              <w:t>+</w:t>
            </w:r>
            <w:r w:rsidR="00363228" w:rsidRPr="008A6A02">
              <w:rPr>
                <w:rFonts w:ascii="Arial" w:hAnsi="Arial"/>
                <w:sz w:val="16"/>
                <w:szCs w:val="16"/>
              </w:rPr>
              <w:t>0.7</w:t>
            </w:r>
          </w:p>
        </w:tc>
        <w:tc>
          <w:tcPr>
            <w:tcW w:w="1674" w:type="dxa"/>
            <w:vAlign w:val="center"/>
          </w:tcPr>
          <w:p w:rsidR="003E3B4A" w:rsidRPr="008A6A02" w:rsidRDefault="00363228" w:rsidP="00BA6165">
            <w:pPr>
              <w:keepNext/>
              <w:rPr>
                <w:rFonts w:ascii="Arial" w:hAnsi="Arial"/>
                <w:sz w:val="16"/>
                <w:szCs w:val="16"/>
              </w:rPr>
            </w:pPr>
            <w:r w:rsidRPr="008A6A02">
              <w:rPr>
                <w:rFonts w:ascii="Arial" w:hAnsi="Arial"/>
                <w:sz w:val="16"/>
                <w:szCs w:val="16"/>
              </w:rPr>
              <w:t>ANATF</w:t>
            </w:r>
          </w:p>
        </w:tc>
        <w:tc>
          <w:tcPr>
            <w:tcW w:w="1674" w:type="dxa"/>
            <w:vAlign w:val="center"/>
          </w:tcPr>
          <w:p w:rsidR="003E3B4A" w:rsidRPr="008A6A02" w:rsidRDefault="008A6A02" w:rsidP="00BA6165">
            <w:pPr>
              <w:keepNext/>
              <w:rPr>
                <w:rFonts w:ascii="Arial" w:hAnsi="Arial"/>
                <w:sz w:val="16"/>
                <w:szCs w:val="16"/>
              </w:rPr>
            </w:pPr>
            <w:r w:rsidRPr="008A6A02">
              <w:rPr>
                <w:rFonts w:ascii="Arial" w:hAnsi="Arial"/>
                <w:sz w:val="16"/>
                <w:szCs w:val="16"/>
              </w:rPr>
              <w:t>-</w:t>
            </w:r>
            <w:r w:rsidR="00363228" w:rsidRPr="008A6A02">
              <w:rPr>
                <w:rFonts w:ascii="Arial" w:hAnsi="Arial"/>
                <w:sz w:val="16"/>
                <w:szCs w:val="16"/>
              </w:rPr>
              <w:t>0.4</w:t>
            </w:r>
          </w:p>
        </w:tc>
      </w:tr>
      <w:tr w:rsidR="003E3B4A" w:rsidTr="00BA6165">
        <w:trPr>
          <w:trHeight w:val="288"/>
        </w:trPr>
        <w:tc>
          <w:tcPr>
            <w:tcW w:w="1674" w:type="dxa"/>
            <w:vAlign w:val="center"/>
          </w:tcPr>
          <w:p w:rsidR="003E3B4A" w:rsidRPr="008A6A02" w:rsidRDefault="00363228" w:rsidP="00BA6165">
            <w:pPr>
              <w:keepNext/>
              <w:rPr>
                <w:rFonts w:ascii="Arial" w:hAnsi="Arial"/>
                <w:sz w:val="16"/>
                <w:szCs w:val="16"/>
              </w:rPr>
            </w:pPr>
            <w:r w:rsidRPr="008A6A02">
              <w:rPr>
                <w:rFonts w:ascii="Arial" w:hAnsi="Arial"/>
                <w:sz w:val="16"/>
                <w:szCs w:val="16"/>
              </w:rPr>
              <w:t>CHOOH</w:t>
            </w:r>
          </w:p>
        </w:tc>
        <w:tc>
          <w:tcPr>
            <w:tcW w:w="1674" w:type="dxa"/>
            <w:vAlign w:val="center"/>
          </w:tcPr>
          <w:p w:rsidR="003E3B4A" w:rsidRPr="008A6A02" w:rsidRDefault="008A6A02" w:rsidP="00BA6165">
            <w:pPr>
              <w:keepNext/>
              <w:rPr>
                <w:rFonts w:ascii="Arial" w:hAnsi="Arial"/>
                <w:sz w:val="16"/>
                <w:szCs w:val="16"/>
              </w:rPr>
            </w:pPr>
            <w:r w:rsidRPr="008A6A02">
              <w:rPr>
                <w:rFonts w:ascii="Arial" w:hAnsi="Arial"/>
                <w:sz w:val="16"/>
                <w:szCs w:val="16"/>
              </w:rPr>
              <w:t>+</w:t>
            </w:r>
            <w:r w:rsidR="00363228" w:rsidRPr="008A6A02">
              <w:rPr>
                <w:rFonts w:ascii="Arial" w:hAnsi="Arial"/>
                <w:sz w:val="16"/>
                <w:szCs w:val="16"/>
              </w:rPr>
              <w:t>0.6</w:t>
            </w:r>
          </w:p>
        </w:tc>
        <w:tc>
          <w:tcPr>
            <w:tcW w:w="1674" w:type="dxa"/>
            <w:vAlign w:val="center"/>
          </w:tcPr>
          <w:p w:rsidR="003E3B4A" w:rsidRPr="008A6A02" w:rsidRDefault="00363228" w:rsidP="00BA6165">
            <w:pPr>
              <w:keepNext/>
              <w:rPr>
                <w:rFonts w:ascii="Arial" w:hAnsi="Arial"/>
                <w:sz w:val="16"/>
                <w:szCs w:val="16"/>
              </w:rPr>
            </w:pPr>
            <w:r w:rsidRPr="008A6A02">
              <w:rPr>
                <w:rFonts w:ascii="Arial" w:hAnsi="Arial"/>
                <w:sz w:val="16"/>
                <w:szCs w:val="16"/>
              </w:rPr>
              <w:t>MATTF</w:t>
            </w:r>
          </w:p>
        </w:tc>
        <w:tc>
          <w:tcPr>
            <w:tcW w:w="1674" w:type="dxa"/>
            <w:vAlign w:val="center"/>
          </w:tcPr>
          <w:p w:rsidR="003E3B4A" w:rsidRPr="008A6A02" w:rsidRDefault="008A6A02" w:rsidP="00BA6165">
            <w:pPr>
              <w:keepNext/>
              <w:rPr>
                <w:rFonts w:ascii="Arial" w:hAnsi="Arial"/>
                <w:sz w:val="16"/>
                <w:szCs w:val="16"/>
              </w:rPr>
            </w:pPr>
            <w:r w:rsidRPr="008A6A02">
              <w:rPr>
                <w:rFonts w:ascii="Arial" w:hAnsi="Arial"/>
                <w:sz w:val="16"/>
                <w:szCs w:val="16"/>
              </w:rPr>
              <w:t>-0</w:t>
            </w:r>
            <w:r w:rsidR="00363228" w:rsidRPr="008A6A02">
              <w:rPr>
                <w:rFonts w:ascii="Arial" w:hAnsi="Arial"/>
                <w:sz w:val="16"/>
                <w:szCs w:val="16"/>
              </w:rPr>
              <w:t>.4</w:t>
            </w:r>
          </w:p>
        </w:tc>
      </w:tr>
      <w:tr w:rsidR="003E3B4A" w:rsidTr="00BA6165">
        <w:trPr>
          <w:trHeight w:val="288"/>
        </w:trPr>
        <w:tc>
          <w:tcPr>
            <w:tcW w:w="1674" w:type="dxa"/>
            <w:vAlign w:val="center"/>
          </w:tcPr>
          <w:p w:rsidR="003E3B4A" w:rsidRPr="008A6A02" w:rsidRDefault="00363228" w:rsidP="00BA6165">
            <w:pPr>
              <w:keepNext/>
              <w:rPr>
                <w:rFonts w:ascii="Arial" w:hAnsi="Arial"/>
                <w:sz w:val="16"/>
                <w:szCs w:val="16"/>
              </w:rPr>
            </w:pPr>
            <w:r w:rsidRPr="008A6A02">
              <w:rPr>
                <w:rFonts w:ascii="Arial" w:hAnsi="Arial"/>
                <w:sz w:val="16"/>
                <w:szCs w:val="16"/>
              </w:rPr>
              <w:t>PAXMH</w:t>
            </w:r>
          </w:p>
        </w:tc>
        <w:tc>
          <w:tcPr>
            <w:tcW w:w="1674" w:type="dxa"/>
            <w:vAlign w:val="center"/>
          </w:tcPr>
          <w:p w:rsidR="003E3B4A" w:rsidRPr="008A6A02" w:rsidRDefault="008A6A02" w:rsidP="00BA6165">
            <w:pPr>
              <w:keepNext/>
              <w:rPr>
                <w:rFonts w:ascii="Arial" w:hAnsi="Arial"/>
                <w:sz w:val="16"/>
                <w:szCs w:val="16"/>
              </w:rPr>
            </w:pPr>
            <w:r w:rsidRPr="008A6A02">
              <w:rPr>
                <w:rFonts w:ascii="Arial" w:hAnsi="Arial"/>
                <w:sz w:val="16"/>
                <w:szCs w:val="16"/>
              </w:rPr>
              <w:t>-</w:t>
            </w:r>
            <w:r w:rsidR="00363228" w:rsidRPr="008A6A02">
              <w:rPr>
                <w:rFonts w:ascii="Arial" w:hAnsi="Arial"/>
                <w:sz w:val="16"/>
                <w:szCs w:val="16"/>
              </w:rPr>
              <w:t>0.5</w:t>
            </w:r>
          </w:p>
        </w:tc>
        <w:tc>
          <w:tcPr>
            <w:tcW w:w="1674" w:type="dxa"/>
            <w:vAlign w:val="center"/>
          </w:tcPr>
          <w:p w:rsidR="003E3B4A" w:rsidRPr="008A6A02" w:rsidRDefault="00363228" w:rsidP="00BA6165">
            <w:pPr>
              <w:keepNext/>
              <w:rPr>
                <w:rFonts w:ascii="Arial" w:hAnsi="Arial"/>
                <w:sz w:val="16"/>
                <w:szCs w:val="16"/>
              </w:rPr>
            </w:pPr>
            <w:r w:rsidRPr="008A6A02">
              <w:rPr>
                <w:rFonts w:ascii="Arial" w:hAnsi="Arial"/>
                <w:sz w:val="16"/>
                <w:szCs w:val="16"/>
              </w:rPr>
              <w:t>PISTF</w:t>
            </w:r>
          </w:p>
        </w:tc>
        <w:tc>
          <w:tcPr>
            <w:tcW w:w="1674" w:type="dxa"/>
            <w:vAlign w:val="center"/>
          </w:tcPr>
          <w:p w:rsidR="003E3B4A" w:rsidRPr="008A6A02" w:rsidRDefault="008A6A02" w:rsidP="00BA6165">
            <w:pPr>
              <w:keepNext/>
              <w:rPr>
                <w:rFonts w:ascii="Arial" w:hAnsi="Arial"/>
                <w:sz w:val="16"/>
                <w:szCs w:val="16"/>
              </w:rPr>
            </w:pPr>
            <w:r w:rsidRPr="008A6A02">
              <w:rPr>
                <w:rFonts w:ascii="Arial" w:hAnsi="Arial"/>
                <w:sz w:val="16"/>
                <w:szCs w:val="16"/>
              </w:rPr>
              <w:t>-</w:t>
            </w:r>
            <w:r w:rsidR="00363228" w:rsidRPr="008A6A02">
              <w:rPr>
                <w:rFonts w:ascii="Arial" w:hAnsi="Arial"/>
                <w:sz w:val="16"/>
                <w:szCs w:val="16"/>
              </w:rPr>
              <w:t>0.4</w:t>
            </w:r>
          </w:p>
        </w:tc>
      </w:tr>
      <w:tr w:rsidR="003E3B4A" w:rsidTr="00BA6165">
        <w:trPr>
          <w:trHeight w:val="288"/>
        </w:trPr>
        <w:tc>
          <w:tcPr>
            <w:tcW w:w="1674" w:type="dxa"/>
            <w:vAlign w:val="center"/>
          </w:tcPr>
          <w:p w:rsidR="003E3B4A" w:rsidRPr="008A6A02" w:rsidRDefault="00363228" w:rsidP="00BA6165">
            <w:pPr>
              <w:keepNext/>
              <w:rPr>
                <w:rFonts w:ascii="Arial" w:hAnsi="Arial"/>
                <w:sz w:val="16"/>
                <w:szCs w:val="16"/>
              </w:rPr>
            </w:pPr>
            <w:r w:rsidRPr="008A6A02">
              <w:rPr>
                <w:rFonts w:ascii="Arial" w:hAnsi="Arial"/>
                <w:sz w:val="16"/>
                <w:szCs w:val="16"/>
              </w:rPr>
              <w:t>POTMH</w:t>
            </w:r>
          </w:p>
        </w:tc>
        <w:tc>
          <w:tcPr>
            <w:tcW w:w="1674" w:type="dxa"/>
            <w:vAlign w:val="center"/>
          </w:tcPr>
          <w:p w:rsidR="003E3B4A" w:rsidRPr="008A6A02" w:rsidRDefault="008A6A02" w:rsidP="00BA6165">
            <w:pPr>
              <w:keepNext/>
              <w:rPr>
                <w:rFonts w:ascii="Arial" w:hAnsi="Arial"/>
                <w:sz w:val="16"/>
                <w:szCs w:val="16"/>
              </w:rPr>
            </w:pPr>
            <w:r w:rsidRPr="008A6A02">
              <w:rPr>
                <w:rFonts w:ascii="Arial" w:hAnsi="Arial"/>
                <w:sz w:val="16"/>
                <w:szCs w:val="16"/>
              </w:rPr>
              <w:t>-</w:t>
            </w:r>
            <w:r w:rsidR="00363228" w:rsidRPr="008A6A02">
              <w:rPr>
                <w:rFonts w:ascii="Arial" w:hAnsi="Arial"/>
                <w:sz w:val="16"/>
                <w:szCs w:val="16"/>
              </w:rPr>
              <w:t>0.4</w:t>
            </w:r>
          </w:p>
        </w:tc>
        <w:tc>
          <w:tcPr>
            <w:tcW w:w="1674" w:type="dxa"/>
            <w:vAlign w:val="center"/>
          </w:tcPr>
          <w:p w:rsidR="003E3B4A" w:rsidRPr="008A6A02" w:rsidRDefault="00363228" w:rsidP="00BA6165">
            <w:pPr>
              <w:keepNext/>
              <w:rPr>
                <w:rFonts w:ascii="Arial" w:hAnsi="Arial"/>
                <w:sz w:val="16"/>
                <w:szCs w:val="16"/>
              </w:rPr>
            </w:pPr>
            <w:r w:rsidRPr="008A6A02">
              <w:rPr>
                <w:rFonts w:ascii="Arial" w:hAnsi="Arial"/>
                <w:sz w:val="16"/>
                <w:szCs w:val="16"/>
              </w:rPr>
              <w:t>MPNOH</w:t>
            </w:r>
          </w:p>
        </w:tc>
        <w:tc>
          <w:tcPr>
            <w:tcW w:w="1674" w:type="dxa"/>
            <w:vAlign w:val="center"/>
          </w:tcPr>
          <w:p w:rsidR="003E3B4A" w:rsidRPr="008A6A02" w:rsidRDefault="008A6A02" w:rsidP="00BA6165">
            <w:pPr>
              <w:keepNext/>
              <w:rPr>
                <w:rFonts w:ascii="Arial" w:hAnsi="Arial"/>
                <w:sz w:val="16"/>
                <w:szCs w:val="16"/>
              </w:rPr>
            </w:pPr>
            <w:r w:rsidRPr="008A6A02">
              <w:rPr>
                <w:rFonts w:ascii="Arial" w:hAnsi="Arial"/>
                <w:sz w:val="16"/>
                <w:szCs w:val="16"/>
              </w:rPr>
              <w:t>+</w:t>
            </w:r>
            <w:r w:rsidR="00363228" w:rsidRPr="008A6A02">
              <w:rPr>
                <w:rFonts w:ascii="Arial" w:hAnsi="Arial"/>
                <w:sz w:val="16"/>
                <w:szCs w:val="16"/>
              </w:rPr>
              <w:t>0.5</w:t>
            </w:r>
          </w:p>
        </w:tc>
      </w:tr>
      <w:tr w:rsidR="003E3B4A" w:rsidTr="00BA6165">
        <w:trPr>
          <w:trHeight w:val="288"/>
        </w:trPr>
        <w:tc>
          <w:tcPr>
            <w:tcW w:w="1674" w:type="dxa"/>
            <w:vAlign w:val="center"/>
          </w:tcPr>
          <w:p w:rsidR="003E3B4A" w:rsidRPr="008A6A02" w:rsidRDefault="00363228" w:rsidP="00BA6165">
            <w:pPr>
              <w:keepNext/>
              <w:rPr>
                <w:rFonts w:ascii="Arial" w:hAnsi="Arial"/>
                <w:sz w:val="16"/>
                <w:szCs w:val="16"/>
              </w:rPr>
            </w:pPr>
            <w:r w:rsidRPr="008A6A02">
              <w:rPr>
                <w:rFonts w:ascii="Arial" w:hAnsi="Arial"/>
                <w:sz w:val="16"/>
                <w:szCs w:val="16"/>
              </w:rPr>
              <w:t>EBEMH</w:t>
            </w:r>
          </w:p>
        </w:tc>
        <w:tc>
          <w:tcPr>
            <w:tcW w:w="1674" w:type="dxa"/>
            <w:vAlign w:val="center"/>
          </w:tcPr>
          <w:p w:rsidR="003E3B4A" w:rsidRPr="008A6A02" w:rsidRDefault="008A6A02" w:rsidP="00BA6165">
            <w:pPr>
              <w:keepNext/>
              <w:rPr>
                <w:rFonts w:ascii="Arial" w:hAnsi="Arial"/>
                <w:sz w:val="16"/>
                <w:szCs w:val="16"/>
              </w:rPr>
            </w:pPr>
            <w:r w:rsidRPr="008A6A02">
              <w:rPr>
                <w:rFonts w:ascii="Arial" w:hAnsi="Arial"/>
                <w:sz w:val="16"/>
                <w:szCs w:val="16"/>
              </w:rPr>
              <w:t>+</w:t>
            </w:r>
            <w:r w:rsidR="00363228" w:rsidRPr="008A6A02">
              <w:rPr>
                <w:rFonts w:ascii="Arial" w:hAnsi="Arial"/>
                <w:sz w:val="16"/>
                <w:szCs w:val="16"/>
              </w:rPr>
              <w:t>0.6</w:t>
            </w:r>
          </w:p>
        </w:tc>
        <w:tc>
          <w:tcPr>
            <w:tcW w:w="1674" w:type="dxa"/>
            <w:vAlign w:val="center"/>
          </w:tcPr>
          <w:p w:rsidR="003E3B4A" w:rsidRPr="008A6A02" w:rsidRDefault="00363228" w:rsidP="00BA6165">
            <w:pPr>
              <w:keepNext/>
              <w:rPr>
                <w:rFonts w:ascii="Arial" w:hAnsi="Arial"/>
                <w:sz w:val="16"/>
                <w:szCs w:val="16"/>
              </w:rPr>
            </w:pPr>
            <w:r w:rsidRPr="008A6A02">
              <w:rPr>
                <w:rFonts w:ascii="Arial" w:hAnsi="Arial"/>
                <w:sz w:val="16"/>
                <w:szCs w:val="16"/>
              </w:rPr>
              <w:t>MPNTF</w:t>
            </w:r>
          </w:p>
        </w:tc>
        <w:tc>
          <w:tcPr>
            <w:tcW w:w="1674" w:type="dxa"/>
            <w:vAlign w:val="center"/>
          </w:tcPr>
          <w:p w:rsidR="003E3B4A" w:rsidRPr="008A6A02" w:rsidRDefault="008A6A02" w:rsidP="00BA6165">
            <w:pPr>
              <w:keepNext/>
              <w:rPr>
                <w:rFonts w:ascii="Arial" w:hAnsi="Arial"/>
                <w:sz w:val="16"/>
                <w:szCs w:val="16"/>
              </w:rPr>
            </w:pPr>
            <w:r w:rsidRPr="008A6A02">
              <w:rPr>
                <w:rFonts w:ascii="Arial" w:hAnsi="Arial"/>
                <w:sz w:val="16"/>
                <w:szCs w:val="16"/>
              </w:rPr>
              <w:t>+</w:t>
            </w:r>
            <w:r w:rsidR="00363228" w:rsidRPr="008A6A02">
              <w:rPr>
                <w:rFonts w:ascii="Arial" w:hAnsi="Arial"/>
                <w:sz w:val="16"/>
                <w:szCs w:val="16"/>
              </w:rPr>
              <w:t>0.5</w:t>
            </w:r>
          </w:p>
        </w:tc>
      </w:tr>
      <w:tr w:rsidR="003E3B4A" w:rsidTr="00BA6165">
        <w:trPr>
          <w:trHeight w:val="288"/>
        </w:trPr>
        <w:tc>
          <w:tcPr>
            <w:tcW w:w="1674" w:type="dxa"/>
            <w:vAlign w:val="center"/>
          </w:tcPr>
          <w:p w:rsidR="003E3B4A" w:rsidRPr="008A6A02" w:rsidRDefault="00363228" w:rsidP="00BA6165">
            <w:pPr>
              <w:keepNext/>
              <w:rPr>
                <w:rFonts w:ascii="Arial" w:hAnsi="Arial"/>
                <w:sz w:val="16"/>
                <w:szCs w:val="16"/>
              </w:rPr>
            </w:pPr>
            <w:r w:rsidRPr="008A6A02">
              <w:rPr>
                <w:rFonts w:ascii="Arial" w:hAnsi="Arial"/>
                <w:sz w:val="16"/>
                <w:szCs w:val="16"/>
              </w:rPr>
              <w:t>ELIPH</w:t>
            </w:r>
          </w:p>
        </w:tc>
        <w:tc>
          <w:tcPr>
            <w:tcW w:w="1674" w:type="dxa"/>
            <w:vAlign w:val="center"/>
          </w:tcPr>
          <w:p w:rsidR="003E3B4A" w:rsidRPr="008A6A02" w:rsidRDefault="008A6A02" w:rsidP="00BA6165">
            <w:pPr>
              <w:keepNext/>
              <w:rPr>
                <w:rFonts w:ascii="Arial" w:hAnsi="Arial"/>
                <w:sz w:val="16"/>
                <w:szCs w:val="16"/>
              </w:rPr>
            </w:pPr>
            <w:r w:rsidRPr="008A6A02">
              <w:rPr>
                <w:rFonts w:ascii="Arial" w:hAnsi="Arial"/>
                <w:sz w:val="16"/>
                <w:szCs w:val="16"/>
              </w:rPr>
              <w:t>+</w:t>
            </w:r>
            <w:r w:rsidR="00363228" w:rsidRPr="008A6A02">
              <w:rPr>
                <w:rFonts w:ascii="Arial" w:hAnsi="Arial"/>
                <w:sz w:val="16"/>
                <w:szCs w:val="16"/>
              </w:rPr>
              <w:t>0.6</w:t>
            </w:r>
          </w:p>
        </w:tc>
        <w:tc>
          <w:tcPr>
            <w:tcW w:w="1674" w:type="dxa"/>
            <w:vAlign w:val="center"/>
          </w:tcPr>
          <w:p w:rsidR="003E3B4A" w:rsidRPr="008A6A02" w:rsidRDefault="00363228" w:rsidP="00BA6165">
            <w:pPr>
              <w:keepNext/>
              <w:rPr>
                <w:rFonts w:ascii="Arial" w:hAnsi="Arial"/>
                <w:sz w:val="16"/>
                <w:szCs w:val="16"/>
              </w:rPr>
            </w:pPr>
            <w:r w:rsidRPr="008A6A02">
              <w:rPr>
                <w:rFonts w:ascii="Arial" w:hAnsi="Arial"/>
                <w:sz w:val="16"/>
                <w:szCs w:val="16"/>
              </w:rPr>
              <w:t>BSHOH</w:t>
            </w:r>
          </w:p>
        </w:tc>
        <w:tc>
          <w:tcPr>
            <w:tcW w:w="1674" w:type="dxa"/>
            <w:vAlign w:val="center"/>
          </w:tcPr>
          <w:p w:rsidR="003E3B4A" w:rsidRPr="008A6A02" w:rsidRDefault="008A6A02" w:rsidP="00BA6165">
            <w:pPr>
              <w:keepNext/>
              <w:rPr>
                <w:rFonts w:ascii="Arial" w:hAnsi="Arial"/>
                <w:sz w:val="16"/>
                <w:szCs w:val="16"/>
              </w:rPr>
            </w:pPr>
            <w:r w:rsidRPr="008A6A02">
              <w:rPr>
                <w:rFonts w:ascii="Arial" w:hAnsi="Arial"/>
                <w:sz w:val="16"/>
                <w:szCs w:val="16"/>
              </w:rPr>
              <w:t>+</w:t>
            </w:r>
            <w:r w:rsidR="00363228" w:rsidRPr="008A6A02">
              <w:rPr>
                <w:rFonts w:ascii="Arial" w:hAnsi="Arial"/>
                <w:sz w:val="16"/>
                <w:szCs w:val="16"/>
              </w:rPr>
              <w:t>0.5</w:t>
            </w:r>
          </w:p>
        </w:tc>
      </w:tr>
    </w:tbl>
    <w:p w:rsidR="00001465" w:rsidRDefault="00001465" w:rsidP="00565384">
      <w:pPr>
        <w:keepNext/>
        <w:ind w:left="720" w:hanging="720"/>
        <w:rPr>
          <w:rFonts w:cs="Times New Roman"/>
        </w:rPr>
      </w:pPr>
    </w:p>
    <w:p w:rsidR="00A00A5F" w:rsidRDefault="002B5F6C" w:rsidP="00A00A5F">
      <w:pPr>
        <w:keepNext/>
        <w:ind w:left="720" w:hanging="720"/>
        <w:jc w:val="center"/>
        <w:rPr>
          <w:rFonts w:cs="Times New Roman"/>
        </w:rPr>
      </w:pPr>
      <w:r>
        <w:rPr>
          <w:rFonts w:cs="Times New Roman"/>
          <w:noProof/>
        </w:rPr>
        <w:lastRenderedPageBreak/>
        <w:drawing>
          <wp:inline distT="0" distB="0" distL="0" distR="0" wp14:anchorId="7862477F" wp14:editId="6D5DD908">
            <wp:extent cx="4572000" cy="605980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_segment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72000" cy="6059805"/>
                    </a:xfrm>
                    <a:prstGeom prst="rect">
                      <a:avLst/>
                    </a:prstGeom>
                  </pic:spPr>
                </pic:pic>
              </a:graphicData>
            </a:graphic>
          </wp:inline>
        </w:drawing>
      </w:r>
    </w:p>
    <w:p w:rsidR="00A00A5F" w:rsidRDefault="00A00A5F" w:rsidP="00A00A5F">
      <w:pPr>
        <w:pStyle w:val="Caption"/>
      </w:pPr>
      <w:proofErr w:type="gramStart"/>
      <w:r>
        <w:t xml:space="preserve">Figure </w:t>
      </w:r>
      <w:r w:rsidR="00426227">
        <w:t>3-</w:t>
      </w:r>
      <w:r>
        <w:t>1.</w:t>
      </w:r>
      <w:proofErr w:type="gramEnd"/>
      <w:r>
        <w:t xml:space="preserve">  </w:t>
      </w:r>
      <w:proofErr w:type="gramStart"/>
      <w:r w:rsidR="002B5F6C">
        <w:t>Chesapeake Bay Program Segments</w:t>
      </w:r>
      <w:r>
        <w:t>.</w:t>
      </w:r>
      <w:proofErr w:type="gramEnd"/>
      <w:r>
        <w:t xml:space="preserve">  </w:t>
      </w:r>
      <w:r w:rsidR="002B5F6C">
        <w:t xml:space="preserve">Background attenuation was adjusted </w:t>
      </w:r>
      <w:r w:rsidR="00750CEF">
        <w:t xml:space="preserve">on segment-wide basis for segments listed in Table </w:t>
      </w:r>
      <w:r w:rsidR="00426227">
        <w:t>3-</w:t>
      </w:r>
      <w:r w:rsidR="00750CEF">
        <w:t>1</w:t>
      </w:r>
      <w:r>
        <w:t>.</w:t>
      </w:r>
    </w:p>
    <w:p w:rsidR="00497DCA" w:rsidRDefault="00497DCA" w:rsidP="00497DCA"/>
    <w:p w:rsidR="00497DCA" w:rsidRDefault="00BA6165" w:rsidP="00497DCA">
      <w:r>
        <w:rPr>
          <w:noProof/>
        </w:rPr>
        <w:lastRenderedPageBreak/>
        <w:drawing>
          <wp:inline distT="0" distB="0" distL="0" distR="0" wp14:anchorId="445BF886" wp14:editId="175A06D2">
            <wp:extent cx="4572000" cy="3355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426_vs_Run2.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72000" cy="3355340"/>
                    </a:xfrm>
                    <a:prstGeom prst="rect">
                      <a:avLst/>
                    </a:prstGeom>
                  </pic:spPr>
                </pic:pic>
              </a:graphicData>
            </a:graphic>
          </wp:inline>
        </w:drawing>
      </w:r>
    </w:p>
    <w:p w:rsidR="00497DCA" w:rsidRDefault="00497DCA" w:rsidP="00497DCA">
      <w:pPr>
        <w:pStyle w:val="Caption"/>
      </w:pPr>
      <w:proofErr w:type="gramStart"/>
      <w:r>
        <w:t xml:space="preserve">Figure </w:t>
      </w:r>
      <w:r w:rsidR="00426227">
        <w:t>3-</w:t>
      </w:r>
      <w:bookmarkStart w:id="0" w:name="_GoBack"/>
      <w:bookmarkEnd w:id="0"/>
      <w:r>
        <w:t>2.</w:t>
      </w:r>
      <w:proofErr w:type="gramEnd"/>
      <w:r>
        <w:t xml:space="preserve">  </w:t>
      </w:r>
      <w:r w:rsidR="00BA6165">
        <w:t>Light attenuation absolute mean d</w:t>
      </w:r>
      <w:r>
        <w:t>ifference statistic for t</w:t>
      </w:r>
      <w:r w:rsidR="00BA6165">
        <w:t>he partial attenuation model vs. the advanced optical model</w:t>
      </w:r>
      <w:r>
        <w:t>.</w:t>
      </w:r>
    </w:p>
    <w:p w:rsidR="00497DCA" w:rsidRDefault="00497DCA" w:rsidP="00497DCA"/>
    <w:p w:rsidR="00497DCA" w:rsidRDefault="00497DCA" w:rsidP="00497DCA"/>
    <w:sectPr w:rsidR="00497DCA" w:rsidSect="00FB7007">
      <w:pgSz w:w="12240" w:h="15840"/>
      <w:pgMar w:top="1440" w:right="2880" w:bottom="1440" w:left="21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082" w:rsidRDefault="00827082">
      <w:r>
        <w:separator/>
      </w:r>
    </w:p>
  </w:endnote>
  <w:endnote w:type="continuationSeparator" w:id="0">
    <w:p w:rsidR="00827082" w:rsidRDefault="00827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JGONK+TimesNewRoman,Bold">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 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9E7" w:rsidRDefault="002479E7" w:rsidP="00EE6E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479E7" w:rsidRDefault="002479E7" w:rsidP="001C759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9E7" w:rsidRPr="001C7590" w:rsidRDefault="002479E7" w:rsidP="00EE6EAC">
    <w:pPr>
      <w:pStyle w:val="Footer"/>
      <w:framePr w:wrap="around" w:vAnchor="text" w:hAnchor="margin" w:xAlign="right" w:y="1"/>
      <w:rPr>
        <w:rStyle w:val="PageNumber"/>
        <w:rFonts w:ascii="Arial" w:hAnsi="Arial"/>
      </w:rPr>
    </w:pPr>
    <w:r w:rsidRPr="001C7590">
      <w:rPr>
        <w:rStyle w:val="PageNumber"/>
        <w:rFonts w:ascii="Arial" w:hAnsi="Arial"/>
      </w:rPr>
      <w:fldChar w:fldCharType="begin"/>
    </w:r>
    <w:r w:rsidRPr="001C7590">
      <w:rPr>
        <w:rStyle w:val="PageNumber"/>
        <w:rFonts w:ascii="Arial" w:hAnsi="Arial"/>
      </w:rPr>
      <w:instrText xml:space="preserve">PAGE  </w:instrText>
    </w:r>
    <w:r w:rsidRPr="001C7590">
      <w:rPr>
        <w:rStyle w:val="PageNumber"/>
        <w:rFonts w:ascii="Arial" w:hAnsi="Arial"/>
      </w:rPr>
      <w:fldChar w:fldCharType="separate"/>
    </w:r>
    <w:r w:rsidR="00902ECC">
      <w:rPr>
        <w:rStyle w:val="PageNumber"/>
        <w:rFonts w:ascii="Arial" w:hAnsi="Arial"/>
        <w:noProof/>
      </w:rPr>
      <w:t>3</w:t>
    </w:r>
    <w:r w:rsidRPr="001C7590">
      <w:rPr>
        <w:rStyle w:val="PageNumber"/>
        <w:rFonts w:ascii="Arial" w:hAnsi="Arial"/>
      </w:rPr>
      <w:fldChar w:fldCharType="end"/>
    </w:r>
  </w:p>
  <w:p w:rsidR="002479E7" w:rsidRPr="001C7590" w:rsidRDefault="002479E7" w:rsidP="001C7590">
    <w:pPr>
      <w:pStyle w:val="Footer"/>
      <w:ind w:right="360"/>
      <w:rPr>
        <w:rFonts w:ascii="Arial" w:hAnsi="Arial"/>
        <w:sz w:val="16"/>
      </w:rPr>
    </w:pPr>
    <w:r>
      <w:rPr>
        <w:rFonts w:ascii="Arial" w:hAnsi="Arial"/>
        <w:sz w:val="16"/>
      </w:rPr>
      <w:t xml:space="preserve">Chapter </w:t>
    </w:r>
    <w:proofErr w:type="gramStart"/>
    <w:r>
      <w:rPr>
        <w:rFonts w:ascii="Arial" w:hAnsi="Arial"/>
        <w:sz w:val="16"/>
      </w:rPr>
      <w:t>3  Light</w:t>
    </w:r>
    <w:proofErr w:type="gramEnd"/>
    <w:r>
      <w:rPr>
        <w:rFonts w:ascii="Arial" w:hAnsi="Arial"/>
        <w:sz w:val="16"/>
      </w:rPr>
      <w:t xml:space="preserve"> Attenuation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082" w:rsidRDefault="00827082">
      <w:r>
        <w:separator/>
      </w:r>
    </w:p>
  </w:footnote>
  <w:footnote w:type="continuationSeparator" w:id="0">
    <w:p w:rsidR="00827082" w:rsidRDefault="008270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F0D15"/>
    <w:multiLevelType w:val="hybridMultilevel"/>
    <w:tmpl w:val="041AD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C221AB"/>
    <w:multiLevelType w:val="hybridMultilevel"/>
    <w:tmpl w:val="88D4A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822B67"/>
    <w:multiLevelType w:val="hybridMultilevel"/>
    <w:tmpl w:val="91505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225DCF"/>
    <w:multiLevelType w:val="hybridMultilevel"/>
    <w:tmpl w:val="699AAFE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3E87D5C"/>
    <w:multiLevelType w:val="hybridMultilevel"/>
    <w:tmpl w:val="FEE420EC"/>
    <w:lvl w:ilvl="0" w:tplc="695452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223D60"/>
    <w:multiLevelType w:val="hybridMultilevel"/>
    <w:tmpl w:val="A4EA53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BF1507"/>
    <w:multiLevelType w:val="hybridMultilevel"/>
    <w:tmpl w:val="D512C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590"/>
    <w:rsid w:val="00001465"/>
    <w:rsid w:val="00020B44"/>
    <w:rsid w:val="00045733"/>
    <w:rsid w:val="00046812"/>
    <w:rsid w:val="000602F0"/>
    <w:rsid w:val="00063A84"/>
    <w:rsid w:val="00066BEE"/>
    <w:rsid w:val="00076794"/>
    <w:rsid w:val="000850C7"/>
    <w:rsid w:val="00090716"/>
    <w:rsid w:val="000E17BE"/>
    <w:rsid w:val="000F501B"/>
    <w:rsid w:val="001313E4"/>
    <w:rsid w:val="00154754"/>
    <w:rsid w:val="00171B08"/>
    <w:rsid w:val="00176CF7"/>
    <w:rsid w:val="001812AE"/>
    <w:rsid w:val="001902B9"/>
    <w:rsid w:val="0019234C"/>
    <w:rsid w:val="001A5D8F"/>
    <w:rsid w:val="001B7352"/>
    <w:rsid w:val="001C6EDF"/>
    <w:rsid w:val="001C7590"/>
    <w:rsid w:val="001D6051"/>
    <w:rsid w:val="001F5427"/>
    <w:rsid w:val="002169FC"/>
    <w:rsid w:val="00237FF4"/>
    <w:rsid w:val="00240FA5"/>
    <w:rsid w:val="00245EC0"/>
    <w:rsid w:val="002479E7"/>
    <w:rsid w:val="0026455B"/>
    <w:rsid w:val="00283DEE"/>
    <w:rsid w:val="002957F8"/>
    <w:rsid w:val="002B3ECD"/>
    <w:rsid w:val="002B5F6C"/>
    <w:rsid w:val="002E1F83"/>
    <w:rsid w:val="00315B11"/>
    <w:rsid w:val="003252E6"/>
    <w:rsid w:val="00333D1D"/>
    <w:rsid w:val="0035233A"/>
    <w:rsid w:val="00363228"/>
    <w:rsid w:val="0038584E"/>
    <w:rsid w:val="00393A35"/>
    <w:rsid w:val="003A7AFC"/>
    <w:rsid w:val="003E3B4A"/>
    <w:rsid w:val="00426227"/>
    <w:rsid w:val="0046436F"/>
    <w:rsid w:val="00464BE4"/>
    <w:rsid w:val="00466018"/>
    <w:rsid w:val="004918DC"/>
    <w:rsid w:val="004938C5"/>
    <w:rsid w:val="00497DCA"/>
    <w:rsid w:val="004A2170"/>
    <w:rsid w:val="004D7CFA"/>
    <w:rsid w:val="004F3E89"/>
    <w:rsid w:val="005473E7"/>
    <w:rsid w:val="005476B5"/>
    <w:rsid w:val="0056198B"/>
    <w:rsid w:val="00561B7C"/>
    <w:rsid w:val="00565384"/>
    <w:rsid w:val="00582E35"/>
    <w:rsid w:val="005A1AB7"/>
    <w:rsid w:val="005B78AA"/>
    <w:rsid w:val="005E722D"/>
    <w:rsid w:val="0060189D"/>
    <w:rsid w:val="0061211A"/>
    <w:rsid w:val="006146A9"/>
    <w:rsid w:val="00655C08"/>
    <w:rsid w:val="00660211"/>
    <w:rsid w:val="00675F49"/>
    <w:rsid w:val="006964A3"/>
    <w:rsid w:val="006F63F2"/>
    <w:rsid w:val="00700359"/>
    <w:rsid w:val="007454D5"/>
    <w:rsid w:val="00750CEF"/>
    <w:rsid w:val="00797C11"/>
    <w:rsid w:val="007A6F50"/>
    <w:rsid w:val="007E455B"/>
    <w:rsid w:val="007E4B69"/>
    <w:rsid w:val="00815D30"/>
    <w:rsid w:val="0081761E"/>
    <w:rsid w:val="00827082"/>
    <w:rsid w:val="00827E52"/>
    <w:rsid w:val="00874B73"/>
    <w:rsid w:val="008804C5"/>
    <w:rsid w:val="008A6A02"/>
    <w:rsid w:val="008B2F5D"/>
    <w:rsid w:val="008D2624"/>
    <w:rsid w:val="008F6FC6"/>
    <w:rsid w:val="00902ECC"/>
    <w:rsid w:val="00932D31"/>
    <w:rsid w:val="00947460"/>
    <w:rsid w:val="00951D56"/>
    <w:rsid w:val="00973465"/>
    <w:rsid w:val="009763B2"/>
    <w:rsid w:val="009764B0"/>
    <w:rsid w:val="009768DC"/>
    <w:rsid w:val="009837E4"/>
    <w:rsid w:val="00983E32"/>
    <w:rsid w:val="009B4A9B"/>
    <w:rsid w:val="00A00A5F"/>
    <w:rsid w:val="00A7417F"/>
    <w:rsid w:val="00A7470A"/>
    <w:rsid w:val="00A74DE3"/>
    <w:rsid w:val="00AB300E"/>
    <w:rsid w:val="00AD6726"/>
    <w:rsid w:val="00AE6B42"/>
    <w:rsid w:val="00AE7E7F"/>
    <w:rsid w:val="00AF1209"/>
    <w:rsid w:val="00AF4CEF"/>
    <w:rsid w:val="00B1308E"/>
    <w:rsid w:val="00B260E0"/>
    <w:rsid w:val="00B34830"/>
    <w:rsid w:val="00B41C3F"/>
    <w:rsid w:val="00B92E33"/>
    <w:rsid w:val="00BA6165"/>
    <w:rsid w:val="00BC60A4"/>
    <w:rsid w:val="00BD4ECB"/>
    <w:rsid w:val="00BD790F"/>
    <w:rsid w:val="00BF0758"/>
    <w:rsid w:val="00C07645"/>
    <w:rsid w:val="00C434D0"/>
    <w:rsid w:val="00C467F3"/>
    <w:rsid w:val="00C7340B"/>
    <w:rsid w:val="00C73449"/>
    <w:rsid w:val="00C8270F"/>
    <w:rsid w:val="00C97842"/>
    <w:rsid w:val="00CC5E24"/>
    <w:rsid w:val="00CC69F9"/>
    <w:rsid w:val="00CD34CA"/>
    <w:rsid w:val="00D2488F"/>
    <w:rsid w:val="00D54137"/>
    <w:rsid w:val="00D608AB"/>
    <w:rsid w:val="00D76BDE"/>
    <w:rsid w:val="00D84897"/>
    <w:rsid w:val="00DF21FC"/>
    <w:rsid w:val="00E069C1"/>
    <w:rsid w:val="00E15A26"/>
    <w:rsid w:val="00E25D35"/>
    <w:rsid w:val="00E417CC"/>
    <w:rsid w:val="00E54B74"/>
    <w:rsid w:val="00E84AEE"/>
    <w:rsid w:val="00EB2730"/>
    <w:rsid w:val="00EC2D35"/>
    <w:rsid w:val="00EE6EAC"/>
    <w:rsid w:val="00F46519"/>
    <w:rsid w:val="00F613C1"/>
    <w:rsid w:val="00F96461"/>
    <w:rsid w:val="00FB1E97"/>
    <w:rsid w:val="00FB53A5"/>
    <w:rsid w:val="00FB7007"/>
    <w:rsid w:val="00FC24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4830"/>
    <w:rPr>
      <w:rFonts w:cs="Arial"/>
      <w:bCs/>
      <w:sz w:val="22"/>
      <w:szCs w:val="22"/>
    </w:rPr>
  </w:style>
  <w:style w:type="paragraph" w:styleId="Heading3">
    <w:name w:val="heading 3"/>
    <w:basedOn w:val="Normal"/>
    <w:next w:val="Normal"/>
    <w:link w:val="Heading3Char"/>
    <w:qFormat/>
    <w:rsid w:val="007454D5"/>
    <w:pPr>
      <w:keepNext/>
      <w:outlineLvl w:val="2"/>
    </w:pPr>
    <w:rPr>
      <w:rFonts w:cs="Times New Roman"/>
      <w:bCs w:val="0"/>
      <w:i/>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C7590"/>
    <w:pPr>
      <w:tabs>
        <w:tab w:val="center" w:pos="4320"/>
        <w:tab w:val="right" w:pos="8640"/>
      </w:tabs>
    </w:pPr>
  </w:style>
  <w:style w:type="character" w:styleId="PageNumber">
    <w:name w:val="page number"/>
    <w:basedOn w:val="DefaultParagraphFont"/>
    <w:rsid w:val="001C7590"/>
  </w:style>
  <w:style w:type="paragraph" w:styleId="Header">
    <w:name w:val="header"/>
    <w:basedOn w:val="Normal"/>
    <w:rsid w:val="001C7590"/>
    <w:pPr>
      <w:tabs>
        <w:tab w:val="center" w:pos="4320"/>
        <w:tab w:val="right" w:pos="8640"/>
      </w:tabs>
    </w:pPr>
  </w:style>
  <w:style w:type="paragraph" w:styleId="BodyText3">
    <w:name w:val="Body Text 3"/>
    <w:basedOn w:val="Normal"/>
    <w:rsid w:val="008B2F5D"/>
    <w:pPr>
      <w:spacing w:after="120"/>
    </w:pPr>
    <w:rPr>
      <w:rFonts w:ascii="New York" w:hAnsi="New York" w:cs="Times New Roman"/>
      <w:bCs w:val="0"/>
      <w:sz w:val="16"/>
      <w:szCs w:val="16"/>
    </w:rPr>
  </w:style>
  <w:style w:type="paragraph" w:styleId="Caption">
    <w:name w:val="caption"/>
    <w:basedOn w:val="Normal"/>
    <w:next w:val="Normal"/>
    <w:qFormat/>
    <w:rsid w:val="00565384"/>
    <w:rPr>
      <w:b/>
      <w:sz w:val="20"/>
      <w:szCs w:val="20"/>
    </w:rPr>
  </w:style>
  <w:style w:type="character" w:customStyle="1" w:styleId="Heading3Char">
    <w:name w:val="Heading 3 Char"/>
    <w:basedOn w:val="DefaultParagraphFont"/>
    <w:link w:val="Heading3"/>
    <w:rsid w:val="007454D5"/>
    <w:rPr>
      <w:i/>
      <w:sz w:val="24"/>
      <w:u w:val="single"/>
    </w:rPr>
  </w:style>
  <w:style w:type="character" w:styleId="PlaceholderText">
    <w:name w:val="Placeholder Text"/>
    <w:basedOn w:val="DefaultParagraphFont"/>
    <w:uiPriority w:val="99"/>
    <w:semiHidden/>
    <w:rsid w:val="001313E4"/>
    <w:rPr>
      <w:color w:val="808080"/>
    </w:rPr>
  </w:style>
  <w:style w:type="paragraph" w:styleId="BalloonText">
    <w:name w:val="Balloon Text"/>
    <w:basedOn w:val="Normal"/>
    <w:link w:val="BalloonTextChar"/>
    <w:rsid w:val="001313E4"/>
    <w:rPr>
      <w:rFonts w:ascii="Tahoma" w:hAnsi="Tahoma" w:cs="Tahoma"/>
      <w:sz w:val="16"/>
      <w:szCs w:val="16"/>
    </w:rPr>
  </w:style>
  <w:style w:type="character" w:customStyle="1" w:styleId="BalloonTextChar">
    <w:name w:val="Balloon Text Char"/>
    <w:basedOn w:val="DefaultParagraphFont"/>
    <w:link w:val="BalloonText"/>
    <w:rsid w:val="001313E4"/>
    <w:rPr>
      <w:rFonts w:ascii="Tahoma" w:hAnsi="Tahoma" w:cs="Tahoma"/>
      <w:bCs/>
      <w:sz w:val="16"/>
      <w:szCs w:val="16"/>
    </w:rPr>
  </w:style>
  <w:style w:type="paragraph" w:customStyle="1" w:styleId="CM3">
    <w:name w:val="CM3"/>
    <w:basedOn w:val="Normal"/>
    <w:next w:val="Normal"/>
    <w:uiPriority w:val="99"/>
    <w:rsid w:val="005476B5"/>
    <w:pPr>
      <w:widowControl w:val="0"/>
      <w:autoSpaceDE w:val="0"/>
      <w:autoSpaceDN w:val="0"/>
      <w:adjustRightInd w:val="0"/>
    </w:pPr>
    <w:rPr>
      <w:rFonts w:ascii="GJGONK+TimesNewRoman,Bold" w:eastAsiaTheme="minorEastAsia" w:hAnsi="GJGONK+TimesNewRoman,Bold" w:cstheme="minorBidi"/>
      <w:bCs w:val="0"/>
      <w:sz w:val="24"/>
      <w:szCs w:val="24"/>
    </w:rPr>
  </w:style>
  <w:style w:type="paragraph" w:customStyle="1" w:styleId="CM5">
    <w:name w:val="CM5"/>
    <w:basedOn w:val="Normal"/>
    <w:next w:val="Normal"/>
    <w:uiPriority w:val="99"/>
    <w:rsid w:val="005476B5"/>
    <w:pPr>
      <w:widowControl w:val="0"/>
      <w:autoSpaceDE w:val="0"/>
      <w:autoSpaceDN w:val="0"/>
      <w:adjustRightInd w:val="0"/>
    </w:pPr>
    <w:rPr>
      <w:rFonts w:ascii="GJGONK+TimesNewRoman,Bold" w:eastAsiaTheme="minorEastAsia" w:hAnsi="GJGONK+TimesNewRoman,Bold" w:cstheme="minorBidi"/>
      <w:bCs w:val="0"/>
      <w:sz w:val="24"/>
      <w:szCs w:val="24"/>
    </w:rPr>
  </w:style>
  <w:style w:type="paragraph" w:customStyle="1" w:styleId="CM1">
    <w:name w:val="CM1"/>
    <w:basedOn w:val="Normal"/>
    <w:next w:val="Normal"/>
    <w:uiPriority w:val="99"/>
    <w:rsid w:val="005476B5"/>
    <w:pPr>
      <w:widowControl w:val="0"/>
      <w:autoSpaceDE w:val="0"/>
      <w:autoSpaceDN w:val="0"/>
      <w:adjustRightInd w:val="0"/>
      <w:spacing w:line="278" w:lineRule="atLeast"/>
    </w:pPr>
    <w:rPr>
      <w:rFonts w:ascii="GJGONK+TimesNewRoman,Bold" w:eastAsiaTheme="minorEastAsia" w:hAnsi="GJGONK+TimesNewRoman,Bold" w:cstheme="minorBidi"/>
      <w:bCs w:val="0"/>
      <w:sz w:val="24"/>
      <w:szCs w:val="24"/>
    </w:rPr>
  </w:style>
  <w:style w:type="paragraph" w:customStyle="1" w:styleId="CM8">
    <w:name w:val="CM8"/>
    <w:basedOn w:val="Normal"/>
    <w:next w:val="Normal"/>
    <w:uiPriority w:val="99"/>
    <w:rsid w:val="005476B5"/>
    <w:pPr>
      <w:widowControl w:val="0"/>
      <w:autoSpaceDE w:val="0"/>
      <w:autoSpaceDN w:val="0"/>
      <w:adjustRightInd w:val="0"/>
    </w:pPr>
    <w:rPr>
      <w:rFonts w:ascii="GJGONK+TimesNewRoman,Bold" w:eastAsiaTheme="minorEastAsia" w:hAnsi="GJGONK+TimesNewRoman,Bold" w:cstheme="minorBidi"/>
      <w:bCs w:val="0"/>
      <w:sz w:val="24"/>
      <w:szCs w:val="24"/>
    </w:rPr>
  </w:style>
  <w:style w:type="paragraph" w:styleId="EndnoteText">
    <w:name w:val="endnote text"/>
    <w:basedOn w:val="Normal"/>
    <w:link w:val="EndnoteTextChar"/>
    <w:rsid w:val="00874B73"/>
    <w:rPr>
      <w:sz w:val="20"/>
      <w:szCs w:val="20"/>
    </w:rPr>
  </w:style>
  <w:style w:type="character" w:customStyle="1" w:styleId="EndnoteTextChar">
    <w:name w:val="Endnote Text Char"/>
    <w:basedOn w:val="DefaultParagraphFont"/>
    <w:link w:val="EndnoteText"/>
    <w:rsid w:val="00874B73"/>
    <w:rPr>
      <w:rFonts w:cs="Arial"/>
      <w:bCs/>
    </w:rPr>
  </w:style>
  <w:style w:type="character" w:styleId="EndnoteReference">
    <w:name w:val="endnote reference"/>
    <w:basedOn w:val="DefaultParagraphFont"/>
    <w:rsid w:val="00874B73"/>
    <w:rPr>
      <w:vertAlign w:val="superscript"/>
    </w:rPr>
  </w:style>
  <w:style w:type="paragraph" w:styleId="FootnoteText">
    <w:name w:val="footnote text"/>
    <w:basedOn w:val="Normal"/>
    <w:link w:val="FootnoteTextChar"/>
    <w:rsid w:val="00874B73"/>
    <w:rPr>
      <w:sz w:val="20"/>
      <w:szCs w:val="20"/>
    </w:rPr>
  </w:style>
  <w:style w:type="character" w:customStyle="1" w:styleId="FootnoteTextChar">
    <w:name w:val="Footnote Text Char"/>
    <w:basedOn w:val="DefaultParagraphFont"/>
    <w:link w:val="FootnoteText"/>
    <w:rsid w:val="00874B73"/>
    <w:rPr>
      <w:rFonts w:cs="Arial"/>
      <w:bCs/>
    </w:rPr>
  </w:style>
  <w:style w:type="character" w:styleId="FootnoteReference">
    <w:name w:val="footnote reference"/>
    <w:basedOn w:val="DefaultParagraphFont"/>
    <w:rsid w:val="00874B73"/>
    <w:rPr>
      <w:vertAlign w:val="superscript"/>
    </w:rPr>
  </w:style>
  <w:style w:type="paragraph" w:customStyle="1" w:styleId="CM7">
    <w:name w:val="CM7"/>
    <w:basedOn w:val="Normal"/>
    <w:next w:val="Normal"/>
    <w:uiPriority w:val="99"/>
    <w:rsid w:val="00874B73"/>
    <w:pPr>
      <w:widowControl w:val="0"/>
      <w:autoSpaceDE w:val="0"/>
      <w:autoSpaceDN w:val="0"/>
      <w:adjustRightInd w:val="0"/>
    </w:pPr>
    <w:rPr>
      <w:rFonts w:ascii="GJGONK+TimesNewRoman,Bold" w:eastAsiaTheme="minorEastAsia" w:hAnsi="GJGONK+TimesNewRoman,Bold" w:cstheme="minorBidi"/>
      <w:bCs w:val="0"/>
      <w:sz w:val="24"/>
      <w:szCs w:val="24"/>
    </w:rPr>
  </w:style>
  <w:style w:type="paragraph" w:customStyle="1" w:styleId="CM6">
    <w:name w:val="CM6"/>
    <w:basedOn w:val="Normal"/>
    <w:next w:val="Normal"/>
    <w:uiPriority w:val="99"/>
    <w:rsid w:val="00874B73"/>
    <w:pPr>
      <w:widowControl w:val="0"/>
      <w:autoSpaceDE w:val="0"/>
      <w:autoSpaceDN w:val="0"/>
      <w:adjustRightInd w:val="0"/>
    </w:pPr>
    <w:rPr>
      <w:rFonts w:ascii="GJGONK+TimesNewRoman,Bold" w:eastAsiaTheme="minorEastAsia" w:hAnsi="GJGONK+TimesNewRoman,Bold" w:cstheme="minorBidi"/>
      <w:bCs w:val="0"/>
      <w:sz w:val="24"/>
      <w:szCs w:val="24"/>
    </w:rPr>
  </w:style>
  <w:style w:type="paragraph" w:styleId="ListParagraph">
    <w:name w:val="List Paragraph"/>
    <w:basedOn w:val="Normal"/>
    <w:uiPriority w:val="34"/>
    <w:qFormat/>
    <w:rsid w:val="00063A84"/>
    <w:pPr>
      <w:ind w:left="720"/>
      <w:contextualSpacing/>
    </w:pPr>
  </w:style>
  <w:style w:type="table" w:styleId="TableGrid">
    <w:name w:val="Table Grid"/>
    <w:basedOn w:val="TableNormal"/>
    <w:rsid w:val="009B4A9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4830"/>
    <w:rPr>
      <w:rFonts w:cs="Arial"/>
      <w:bCs/>
      <w:sz w:val="22"/>
      <w:szCs w:val="22"/>
    </w:rPr>
  </w:style>
  <w:style w:type="paragraph" w:styleId="Heading3">
    <w:name w:val="heading 3"/>
    <w:basedOn w:val="Normal"/>
    <w:next w:val="Normal"/>
    <w:link w:val="Heading3Char"/>
    <w:qFormat/>
    <w:rsid w:val="007454D5"/>
    <w:pPr>
      <w:keepNext/>
      <w:outlineLvl w:val="2"/>
    </w:pPr>
    <w:rPr>
      <w:rFonts w:cs="Times New Roman"/>
      <w:bCs w:val="0"/>
      <w:i/>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C7590"/>
    <w:pPr>
      <w:tabs>
        <w:tab w:val="center" w:pos="4320"/>
        <w:tab w:val="right" w:pos="8640"/>
      </w:tabs>
    </w:pPr>
  </w:style>
  <w:style w:type="character" w:styleId="PageNumber">
    <w:name w:val="page number"/>
    <w:basedOn w:val="DefaultParagraphFont"/>
    <w:rsid w:val="001C7590"/>
  </w:style>
  <w:style w:type="paragraph" w:styleId="Header">
    <w:name w:val="header"/>
    <w:basedOn w:val="Normal"/>
    <w:rsid w:val="001C7590"/>
    <w:pPr>
      <w:tabs>
        <w:tab w:val="center" w:pos="4320"/>
        <w:tab w:val="right" w:pos="8640"/>
      </w:tabs>
    </w:pPr>
  </w:style>
  <w:style w:type="paragraph" w:styleId="BodyText3">
    <w:name w:val="Body Text 3"/>
    <w:basedOn w:val="Normal"/>
    <w:rsid w:val="008B2F5D"/>
    <w:pPr>
      <w:spacing w:after="120"/>
    </w:pPr>
    <w:rPr>
      <w:rFonts w:ascii="New York" w:hAnsi="New York" w:cs="Times New Roman"/>
      <w:bCs w:val="0"/>
      <w:sz w:val="16"/>
      <w:szCs w:val="16"/>
    </w:rPr>
  </w:style>
  <w:style w:type="paragraph" w:styleId="Caption">
    <w:name w:val="caption"/>
    <w:basedOn w:val="Normal"/>
    <w:next w:val="Normal"/>
    <w:qFormat/>
    <w:rsid w:val="00565384"/>
    <w:rPr>
      <w:b/>
      <w:sz w:val="20"/>
      <w:szCs w:val="20"/>
    </w:rPr>
  </w:style>
  <w:style w:type="character" w:customStyle="1" w:styleId="Heading3Char">
    <w:name w:val="Heading 3 Char"/>
    <w:basedOn w:val="DefaultParagraphFont"/>
    <w:link w:val="Heading3"/>
    <w:rsid w:val="007454D5"/>
    <w:rPr>
      <w:i/>
      <w:sz w:val="24"/>
      <w:u w:val="single"/>
    </w:rPr>
  </w:style>
  <w:style w:type="character" w:styleId="PlaceholderText">
    <w:name w:val="Placeholder Text"/>
    <w:basedOn w:val="DefaultParagraphFont"/>
    <w:uiPriority w:val="99"/>
    <w:semiHidden/>
    <w:rsid w:val="001313E4"/>
    <w:rPr>
      <w:color w:val="808080"/>
    </w:rPr>
  </w:style>
  <w:style w:type="paragraph" w:styleId="BalloonText">
    <w:name w:val="Balloon Text"/>
    <w:basedOn w:val="Normal"/>
    <w:link w:val="BalloonTextChar"/>
    <w:rsid w:val="001313E4"/>
    <w:rPr>
      <w:rFonts w:ascii="Tahoma" w:hAnsi="Tahoma" w:cs="Tahoma"/>
      <w:sz w:val="16"/>
      <w:szCs w:val="16"/>
    </w:rPr>
  </w:style>
  <w:style w:type="character" w:customStyle="1" w:styleId="BalloonTextChar">
    <w:name w:val="Balloon Text Char"/>
    <w:basedOn w:val="DefaultParagraphFont"/>
    <w:link w:val="BalloonText"/>
    <w:rsid w:val="001313E4"/>
    <w:rPr>
      <w:rFonts w:ascii="Tahoma" w:hAnsi="Tahoma" w:cs="Tahoma"/>
      <w:bCs/>
      <w:sz w:val="16"/>
      <w:szCs w:val="16"/>
    </w:rPr>
  </w:style>
  <w:style w:type="paragraph" w:customStyle="1" w:styleId="CM3">
    <w:name w:val="CM3"/>
    <w:basedOn w:val="Normal"/>
    <w:next w:val="Normal"/>
    <w:uiPriority w:val="99"/>
    <w:rsid w:val="005476B5"/>
    <w:pPr>
      <w:widowControl w:val="0"/>
      <w:autoSpaceDE w:val="0"/>
      <w:autoSpaceDN w:val="0"/>
      <w:adjustRightInd w:val="0"/>
    </w:pPr>
    <w:rPr>
      <w:rFonts w:ascii="GJGONK+TimesNewRoman,Bold" w:eastAsiaTheme="minorEastAsia" w:hAnsi="GJGONK+TimesNewRoman,Bold" w:cstheme="minorBidi"/>
      <w:bCs w:val="0"/>
      <w:sz w:val="24"/>
      <w:szCs w:val="24"/>
    </w:rPr>
  </w:style>
  <w:style w:type="paragraph" w:customStyle="1" w:styleId="CM5">
    <w:name w:val="CM5"/>
    <w:basedOn w:val="Normal"/>
    <w:next w:val="Normal"/>
    <w:uiPriority w:val="99"/>
    <w:rsid w:val="005476B5"/>
    <w:pPr>
      <w:widowControl w:val="0"/>
      <w:autoSpaceDE w:val="0"/>
      <w:autoSpaceDN w:val="0"/>
      <w:adjustRightInd w:val="0"/>
    </w:pPr>
    <w:rPr>
      <w:rFonts w:ascii="GJGONK+TimesNewRoman,Bold" w:eastAsiaTheme="minorEastAsia" w:hAnsi="GJGONK+TimesNewRoman,Bold" w:cstheme="minorBidi"/>
      <w:bCs w:val="0"/>
      <w:sz w:val="24"/>
      <w:szCs w:val="24"/>
    </w:rPr>
  </w:style>
  <w:style w:type="paragraph" w:customStyle="1" w:styleId="CM1">
    <w:name w:val="CM1"/>
    <w:basedOn w:val="Normal"/>
    <w:next w:val="Normal"/>
    <w:uiPriority w:val="99"/>
    <w:rsid w:val="005476B5"/>
    <w:pPr>
      <w:widowControl w:val="0"/>
      <w:autoSpaceDE w:val="0"/>
      <w:autoSpaceDN w:val="0"/>
      <w:adjustRightInd w:val="0"/>
      <w:spacing w:line="278" w:lineRule="atLeast"/>
    </w:pPr>
    <w:rPr>
      <w:rFonts w:ascii="GJGONK+TimesNewRoman,Bold" w:eastAsiaTheme="minorEastAsia" w:hAnsi="GJGONK+TimesNewRoman,Bold" w:cstheme="minorBidi"/>
      <w:bCs w:val="0"/>
      <w:sz w:val="24"/>
      <w:szCs w:val="24"/>
    </w:rPr>
  </w:style>
  <w:style w:type="paragraph" w:customStyle="1" w:styleId="CM8">
    <w:name w:val="CM8"/>
    <w:basedOn w:val="Normal"/>
    <w:next w:val="Normal"/>
    <w:uiPriority w:val="99"/>
    <w:rsid w:val="005476B5"/>
    <w:pPr>
      <w:widowControl w:val="0"/>
      <w:autoSpaceDE w:val="0"/>
      <w:autoSpaceDN w:val="0"/>
      <w:adjustRightInd w:val="0"/>
    </w:pPr>
    <w:rPr>
      <w:rFonts w:ascii="GJGONK+TimesNewRoman,Bold" w:eastAsiaTheme="minorEastAsia" w:hAnsi="GJGONK+TimesNewRoman,Bold" w:cstheme="minorBidi"/>
      <w:bCs w:val="0"/>
      <w:sz w:val="24"/>
      <w:szCs w:val="24"/>
    </w:rPr>
  </w:style>
  <w:style w:type="paragraph" w:styleId="EndnoteText">
    <w:name w:val="endnote text"/>
    <w:basedOn w:val="Normal"/>
    <w:link w:val="EndnoteTextChar"/>
    <w:rsid w:val="00874B73"/>
    <w:rPr>
      <w:sz w:val="20"/>
      <w:szCs w:val="20"/>
    </w:rPr>
  </w:style>
  <w:style w:type="character" w:customStyle="1" w:styleId="EndnoteTextChar">
    <w:name w:val="Endnote Text Char"/>
    <w:basedOn w:val="DefaultParagraphFont"/>
    <w:link w:val="EndnoteText"/>
    <w:rsid w:val="00874B73"/>
    <w:rPr>
      <w:rFonts w:cs="Arial"/>
      <w:bCs/>
    </w:rPr>
  </w:style>
  <w:style w:type="character" w:styleId="EndnoteReference">
    <w:name w:val="endnote reference"/>
    <w:basedOn w:val="DefaultParagraphFont"/>
    <w:rsid w:val="00874B73"/>
    <w:rPr>
      <w:vertAlign w:val="superscript"/>
    </w:rPr>
  </w:style>
  <w:style w:type="paragraph" w:styleId="FootnoteText">
    <w:name w:val="footnote text"/>
    <w:basedOn w:val="Normal"/>
    <w:link w:val="FootnoteTextChar"/>
    <w:rsid w:val="00874B73"/>
    <w:rPr>
      <w:sz w:val="20"/>
      <w:szCs w:val="20"/>
    </w:rPr>
  </w:style>
  <w:style w:type="character" w:customStyle="1" w:styleId="FootnoteTextChar">
    <w:name w:val="Footnote Text Char"/>
    <w:basedOn w:val="DefaultParagraphFont"/>
    <w:link w:val="FootnoteText"/>
    <w:rsid w:val="00874B73"/>
    <w:rPr>
      <w:rFonts w:cs="Arial"/>
      <w:bCs/>
    </w:rPr>
  </w:style>
  <w:style w:type="character" w:styleId="FootnoteReference">
    <w:name w:val="footnote reference"/>
    <w:basedOn w:val="DefaultParagraphFont"/>
    <w:rsid w:val="00874B73"/>
    <w:rPr>
      <w:vertAlign w:val="superscript"/>
    </w:rPr>
  </w:style>
  <w:style w:type="paragraph" w:customStyle="1" w:styleId="CM7">
    <w:name w:val="CM7"/>
    <w:basedOn w:val="Normal"/>
    <w:next w:val="Normal"/>
    <w:uiPriority w:val="99"/>
    <w:rsid w:val="00874B73"/>
    <w:pPr>
      <w:widowControl w:val="0"/>
      <w:autoSpaceDE w:val="0"/>
      <w:autoSpaceDN w:val="0"/>
      <w:adjustRightInd w:val="0"/>
    </w:pPr>
    <w:rPr>
      <w:rFonts w:ascii="GJGONK+TimesNewRoman,Bold" w:eastAsiaTheme="minorEastAsia" w:hAnsi="GJGONK+TimesNewRoman,Bold" w:cstheme="minorBidi"/>
      <w:bCs w:val="0"/>
      <w:sz w:val="24"/>
      <w:szCs w:val="24"/>
    </w:rPr>
  </w:style>
  <w:style w:type="paragraph" w:customStyle="1" w:styleId="CM6">
    <w:name w:val="CM6"/>
    <w:basedOn w:val="Normal"/>
    <w:next w:val="Normal"/>
    <w:uiPriority w:val="99"/>
    <w:rsid w:val="00874B73"/>
    <w:pPr>
      <w:widowControl w:val="0"/>
      <w:autoSpaceDE w:val="0"/>
      <w:autoSpaceDN w:val="0"/>
      <w:adjustRightInd w:val="0"/>
    </w:pPr>
    <w:rPr>
      <w:rFonts w:ascii="GJGONK+TimesNewRoman,Bold" w:eastAsiaTheme="minorEastAsia" w:hAnsi="GJGONK+TimesNewRoman,Bold" w:cstheme="minorBidi"/>
      <w:bCs w:val="0"/>
      <w:sz w:val="24"/>
      <w:szCs w:val="24"/>
    </w:rPr>
  </w:style>
  <w:style w:type="paragraph" w:styleId="ListParagraph">
    <w:name w:val="List Paragraph"/>
    <w:basedOn w:val="Normal"/>
    <w:uiPriority w:val="34"/>
    <w:qFormat/>
    <w:rsid w:val="00063A84"/>
    <w:pPr>
      <w:ind w:left="720"/>
      <w:contextualSpacing/>
    </w:pPr>
  </w:style>
  <w:style w:type="table" w:styleId="TableGrid">
    <w:name w:val="Table Grid"/>
    <w:basedOn w:val="TableNormal"/>
    <w:rsid w:val="009B4A9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989242">
      <w:bodyDiv w:val="1"/>
      <w:marLeft w:val="0"/>
      <w:marRight w:val="0"/>
      <w:marTop w:val="0"/>
      <w:marBottom w:val="0"/>
      <w:divBdr>
        <w:top w:val="none" w:sz="0" w:space="0" w:color="auto"/>
        <w:left w:val="none" w:sz="0" w:space="0" w:color="auto"/>
        <w:bottom w:val="none" w:sz="0" w:space="0" w:color="auto"/>
        <w:right w:val="none" w:sz="0" w:space="0" w:color="auto"/>
      </w:divBdr>
    </w:div>
    <w:div w:id="1975910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F35B2-66C8-4051-A6C6-77D3DE34B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6</Pages>
  <Words>1113</Words>
  <Characters>6347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Introduction</vt:lpstr>
    </vt:vector>
  </TitlesOfParts>
  <Company>ERDC Vicksburg, MS</Company>
  <LinksUpToDate>false</LinksUpToDate>
  <CharactersWithSpaces>7446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Carl Cerco</dc:creator>
  <cp:lastModifiedBy>Carl Cerco</cp:lastModifiedBy>
  <cp:revision>16</cp:revision>
  <dcterms:created xsi:type="dcterms:W3CDTF">2017-03-29T19:42:00Z</dcterms:created>
  <dcterms:modified xsi:type="dcterms:W3CDTF">2018-07-05T16:30:00Z</dcterms:modified>
</cp:coreProperties>
</file>