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E72" w:rsidRDefault="00AF6E72" w:rsidP="00AF6E72">
      <w:pPr>
        <w:jc w:val="center"/>
        <w:rPr>
          <w:rFonts w:cstheme="minorHAnsi"/>
          <w:b/>
          <w:sz w:val="24"/>
          <w:szCs w:val="24"/>
        </w:rPr>
      </w:pPr>
      <w:r>
        <w:rPr>
          <w:rFonts w:cstheme="minorHAnsi"/>
          <w:b/>
          <w:sz w:val="24"/>
          <w:szCs w:val="24"/>
        </w:rPr>
        <w:t>2016-2017 Management Approaches</w:t>
      </w:r>
    </w:p>
    <w:p w:rsidR="00AF6E72" w:rsidRPr="00AF6E72" w:rsidRDefault="00AF6E72" w:rsidP="00AF6E72">
      <w:pPr>
        <w:rPr>
          <w:rFonts w:ascii="Calibri" w:hAnsi="Calibri"/>
          <w:b/>
          <w:bCs/>
          <w:color w:val="000000"/>
          <w:sz w:val="23"/>
          <w:szCs w:val="23"/>
          <w:shd w:val="clear" w:color="auto" w:fill="FFFFFF"/>
        </w:rPr>
      </w:pPr>
      <w:r w:rsidRPr="00AF6E72">
        <w:rPr>
          <w:rFonts w:ascii="Calibri" w:hAnsi="Calibri"/>
          <w:b/>
          <w:bCs/>
          <w:color w:val="000000"/>
          <w:sz w:val="23"/>
          <w:szCs w:val="23"/>
          <w:shd w:val="clear" w:color="auto" w:fill="FFFFFF"/>
        </w:rPr>
        <w:t>ENVIRONMENTAL LITERACY PLANNING AND METRICS Goal</w:t>
      </w:r>
    </w:p>
    <w:p w:rsidR="00AF6E72" w:rsidRPr="00AF6E72" w:rsidRDefault="00AF6E72" w:rsidP="00AF6E72">
      <w:pPr>
        <w:rPr>
          <w:rFonts w:ascii="Calibri" w:hAnsi="Calibri"/>
          <w:bCs/>
          <w:color w:val="000000"/>
          <w:sz w:val="23"/>
          <w:szCs w:val="23"/>
          <w:shd w:val="clear" w:color="auto" w:fill="FFFFFF"/>
        </w:rPr>
      </w:pPr>
      <w:r w:rsidRPr="00AF6E72">
        <w:rPr>
          <w:rFonts w:ascii="Calibri" w:hAnsi="Calibri"/>
          <w:bCs/>
          <w:color w:val="000000"/>
          <w:sz w:val="23"/>
          <w:szCs w:val="23"/>
          <w:shd w:val="clear" w:color="auto" w:fill="FFFFFF"/>
        </w:rPr>
        <w:t>Management Approach 1: Identify and advocate for the local and state resources (policy, programs, and staffing) necessary for all graduates to achieve science, citizenship, and environmental literacy.</w:t>
      </w:r>
    </w:p>
    <w:p w:rsidR="00AF6E72" w:rsidRPr="00AF6E72" w:rsidRDefault="00AF6E72" w:rsidP="00AF6E72">
      <w:pPr>
        <w:rPr>
          <w:rFonts w:ascii="Calibri" w:hAnsi="Calibri"/>
          <w:bCs/>
          <w:color w:val="000000"/>
          <w:sz w:val="23"/>
          <w:szCs w:val="23"/>
          <w:shd w:val="clear" w:color="auto" w:fill="FFFFFF"/>
        </w:rPr>
      </w:pPr>
    </w:p>
    <w:p w:rsidR="00AF6E72" w:rsidRPr="00AF6E72" w:rsidRDefault="00AF6E72" w:rsidP="00AF6E72">
      <w:pPr>
        <w:rPr>
          <w:rFonts w:ascii="Calibri" w:hAnsi="Calibri"/>
          <w:bCs/>
          <w:color w:val="000000"/>
          <w:sz w:val="23"/>
          <w:szCs w:val="23"/>
          <w:shd w:val="clear" w:color="auto" w:fill="FFFFFF"/>
        </w:rPr>
      </w:pPr>
      <w:r w:rsidRPr="00AF6E72">
        <w:rPr>
          <w:rFonts w:ascii="Calibri" w:hAnsi="Calibri"/>
          <w:bCs/>
          <w:color w:val="000000"/>
          <w:sz w:val="23"/>
          <w:szCs w:val="23"/>
          <w:shd w:val="clear" w:color="auto" w:fill="FFFFFF"/>
        </w:rPr>
        <w:t xml:space="preserve">Management Approach 2: Support the development and implementation of </w:t>
      </w:r>
      <w:proofErr w:type="gramStart"/>
      <w:r w:rsidRPr="00AF6E72">
        <w:rPr>
          <w:rFonts w:ascii="Calibri" w:hAnsi="Calibri"/>
          <w:bCs/>
          <w:color w:val="000000"/>
          <w:sz w:val="23"/>
          <w:szCs w:val="23"/>
          <w:shd w:val="clear" w:color="auto" w:fill="FFFFFF"/>
        </w:rPr>
        <w:t>clearly-defined</w:t>
      </w:r>
      <w:proofErr w:type="gramEnd"/>
      <w:r w:rsidRPr="00AF6E72">
        <w:rPr>
          <w:rFonts w:ascii="Calibri" w:hAnsi="Calibri"/>
          <w:bCs/>
          <w:color w:val="000000"/>
          <w:sz w:val="23"/>
          <w:szCs w:val="23"/>
          <w:shd w:val="clear" w:color="auto" w:fill="FFFFFF"/>
        </w:rPr>
        <w:t>, attainable objectives necessary for all students to achieve science, citizenship, and environmental literacy by graduation.</w:t>
      </w:r>
    </w:p>
    <w:p w:rsidR="00AF6E72" w:rsidRPr="00AF6E72" w:rsidRDefault="00AF6E72" w:rsidP="00AF6E72">
      <w:pPr>
        <w:rPr>
          <w:rFonts w:ascii="Calibri" w:hAnsi="Calibri"/>
          <w:bCs/>
          <w:color w:val="000000"/>
          <w:sz w:val="23"/>
          <w:szCs w:val="23"/>
          <w:shd w:val="clear" w:color="auto" w:fill="FFFFFF"/>
        </w:rPr>
      </w:pPr>
    </w:p>
    <w:p w:rsidR="00AF6E72" w:rsidRPr="00AF6E72" w:rsidRDefault="00AF6E72" w:rsidP="00AF6E72">
      <w:pPr>
        <w:rPr>
          <w:rFonts w:ascii="Calibri" w:hAnsi="Calibri"/>
          <w:bCs/>
          <w:color w:val="000000"/>
          <w:sz w:val="23"/>
          <w:szCs w:val="23"/>
          <w:shd w:val="clear" w:color="auto" w:fill="FFFFFF"/>
        </w:rPr>
      </w:pPr>
      <w:r w:rsidRPr="00AF6E72">
        <w:rPr>
          <w:rFonts w:ascii="Calibri" w:hAnsi="Calibri"/>
          <w:bCs/>
          <w:color w:val="000000"/>
          <w:sz w:val="23"/>
          <w:szCs w:val="23"/>
          <w:shd w:val="clear" w:color="auto" w:fill="FFFFFF"/>
        </w:rPr>
        <w:t>Management Approach 3: Promote the implementation of the Environmental Literacy Indicator Tool (ELIT) and related data visualization tools to assess progress toward student science, citizenship, and environmental literacy.</w:t>
      </w:r>
    </w:p>
    <w:p w:rsidR="00AF6E72" w:rsidRPr="00AF6E72" w:rsidRDefault="00AF6E72" w:rsidP="00AF6E72">
      <w:pPr>
        <w:rPr>
          <w:rFonts w:ascii="Calibri" w:hAnsi="Calibri"/>
          <w:bCs/>
          <w:color w:val="000000"/>
          <w:sz w:val="23"/>
          <w:szCs w:val="23"/>
          <w:shd w:val="clear" w:color="auto" w:fill="FFFFFF"/>
        </w:rPr>
      </w:pPr>
    </w:p>
    <w:p w:rsidR="00AF6E72" w:rsidRPr="00AF6E72" w:rsidRDefault="00AF6E72" w:rsidP="00AF6E72">
      <w:pPr>
        <w:rPr>
          <w:rFonts w:ascii="Calibri" w:hAnsi="Calibri"/>
          <w:bCs/>
          <w:color w:val="000000"/>
          <w:sz w:val="23"/>
          <w:szCs w:val="23"/>
          <w:shd w:val="clear" w:color="auto" w:fill="FFFFFF"/>
        </w:rPr>
      </w:pPr>
      <w:r w:rsidRPr="00AF6E72">
        <w:rPr>
          <w:rFonts w:ascii="Calibri" w:hAnsi="Calibri"/>
          <w:bCs/>
          <w:color w:val="000000"/>
          <w:sz w:val="23"/>
          <w:szCs w:val="23"/>
          <w:shd w:val="clear" w:color="auto" w:fill="FFFFFF"/>
        </w:rPr>
        <w:t>Management Approach 4: Disseminate information to state formal and informal education stakeholders on the policies, programs, and practices that promote science, citizenship, and environmental literacy.</w:t>
      </w:r>
    </w:p>
    <w:p w:rsidR="00AF6E72" w:rsidRPr="00AF6E72" w:rsidRDefault="00AF6E72" w:rsidP="00AF6E72">
      <w:pPr>
        <w:rPr>
          <w:rFonts w:ascii="Calibri" w:hAnsi="Calibri"/>
          <w:bCs/>
          <w:color w:val="000000"/>
          <w:sz w:val="23"/>
          <w:szCs w:val="23"/>
          <w:shd w:val="clear" w:color="auto" w:fill="FFFFFF"/>
        </w:rPr>
      </w:pPr>
    </w:p>
    <w:p w:rsidR="00AF6E72" w:rsidRPr="00AF6E72" w:rsidRDefault="00AF6E72" w:rsidP="00AF6E72">
      <w:pPr>
        <w:rPr>
          <w:rFonts w:ascii="Calibri" w:hAnsi="Calibri"/>
          <w:bCs/>
          <w:color w:val="000000"/>
          <w:sz w:val="23"/>
          <w:szCs w:val="23"/>
          <w:shd w:val="clear" w:color="auto" w:fill="FFFFFF"/>
        </w:rPr>
      </w:pPr>
      <w:r w:rsidRPr="00AF6E72">
        <w:rPr>
          <w:rFonts w:ascii="Calibri" w:hAnsi="Calibri"/>
          <w:bCs/>
          <w:color w:val="000000"/>
          <w:sz w:val="23"/>
          <w:szCs w:val="23"/>
          <w:shd w:val="clear" w:color="auto" w:fill="FFFFFF"/>
        </w:rPr>
        <w:t>Management Approach 5: Maintain an up-to-date suite of definitions and best practices documents for regional practitioners, funders, and administrators to inform program development and funding following research-based best practices.</w:t>
      </w:r>
    </w:p>
    <w:p w:rsidR="00AF6E72" w:rsidRPr="00AF6E72" w:rsidRDefault="00AF6E72" w:rsidP="00AF6E72">
      <w:pPr>
        <w:rPr>
          <w:rFonts w:ascii="Calibri" w:hAnsi="Calibri"/>
          <w:bCs/>
          <w:color w:val="000000"/>
          <w:sz w:val="23"/>
          <w:szCs w:val="23"/>
          <w:shd w:val="clear" w:color="auto" w:fill="FFFFFF"/>
        </w:rPr>
      </w:pPr>
    </w:p>
    <w:p w:rsidR="00AF6E72" w:rsidRPr="00AF6E72" w:rsidRDefault="00AF6E72" w:rsidP="00AF6E72">
      <w:pPr>
        <w:rPr>
          <w:rFonts w:ascii="Calibri" w:hAnsi="Calibri"/>
          <w:bCs/>
          <w:color w:val="000000"/>
          <w:sz w:val="23"/>
          <w:szCs w:val="23"/>
          <w:shd w:val="clear" w:color="auto" w:fill="FFFFFF"/>
        </w:rPr>
      </w:pPr>
      <w:r w:rsidRPr="00AF6E72">
        <w:rPr>
          <w:rFonts w:ascii="Calibri" w:hAnsi="Calibri"/>
          <w:bCs/>
          <w:color w:val="000000"/>
          <w:sz w:val="23"/>
          <w:szCs w:val="23"/>
          <w:shd w:val="clear" w:color="auto" w:fill="FFFFFF"/>
        </w:rPr>
        <w:t>Management Approach 6: Maintain the Chesapeake Bay Program Education Workgroup and related state workgroups that include state department of education participation to oversee implementation of the Environmental Literacy Management Strategy.</w:t>
      </w:r>
    </w:p>
    <w:p w:rsidR="00AF6E72" w:rsidRPr="00AF6E72" w:rsidRDefault="00AF6E72" w:rsidP="00AF6E72">
      <w:pPr>
        <w:rPr>
          <w:rFonts w:ascii="Calibri" w:hAnsi="Calibri"/>
          <w:bCs/>
          <w:color w:val="000000"/>
          <w:sz w:val="23"/>
          <w:szCs w:val="23"/>
          <w:shd w:val="clear" w:color="auto" w:fill="FFFFFF"/>
        </w:rPr>
      </w:pPr>
    </w:p>
    <w:p w:rsidR="00AF6E72" w:rsidRPr="00AF6E72" w:rsidRDefault="00AF6E72" w:rsidP="00AF6E72">
      <w:pPr>
        <w:rPr>
          <w:rFonts w:cstheme="minorHAnsi"/>
          <w:sz w:val="24"/>
          <w:szCs w:val="24"/>
        </w:rPr>
      </w:pPr>
      <w:r w:rsidRPr="00AF6E72">
        <w:rPr>
          <w:rFonts w:ascii="Calibri" w:hAnsi="Calibri"/>
          <w:bCs/>
          <w:color w:val="000000"/>
          <w:sz w:val="23"/>
          <w:szCs w:val="23"/>
          <w:shd w:val="clear" w:color="auto" w:fill="FFFFFF"/>
        </w:rPr>
        <w:t>Management Approach 7: Ensure the implementation of Environmental Literacy outcomes includes a focus on diverse and underserved students with an emphasis on career and college readiness and STEM.</w:t>
      </w:r>
    </w:p>
    <w:p w:rsidR="00AF6E72" w:rsidRDefault="00AF6E72">
      <w:pPr>
        <w:rPr>
          <w:rFonts w:cstheme="minorHAnsi"/>
          <w:b/>
          <w:sz w:val="24"/>
          <w:szCs w:val="24"/>
        </w:rPr>
      </w:pPr>
      <w:bookmarkStart w:id="0" w:name="_GoBack"/>
      <w:bookmarkEnd w:id="0"/>
      <w:r>
        <w:rPr>
          <w:rFonts w:cstheme="minorHAnsi"/>
          <w:b/>
          <w:sz w:val="24"/>
          <w:szCs w:val="24"/>
        </w:rPr>
        <w:br w:type="page"/>
      </w:r>
    </w:p>
    <w:p w:rsidR="00B57A68" w:rsidRPr="00AF6E72" w:rsidRDefault="00AF6E72">
      <w:pPr>
        <w:rPr>
          <w:rFonts w:cstheme="minorHAnsi"/>
          <w:b/>
          <w:sz w:val="24"/>
          <w:szCs w:val="24"/>
        </w:rPr>
      </w:pPr>
      <w:r>
        <w:rPr>
          <w:rFonts w:cstheme="minorHAnsi"/>
          <w:b/>
          <w:sz w:val="24"/>
          <w:szCs w:val="24"/>
        </w:rPr>
        <w:lastRenderedPageBreak/>
        <w:t>STUDENTS Goal</w:t>
      </w:r>
    </w:p>
    <w:p w:rsidR="007F343E" w:rsidRPr="00AF6E72" w:rsidRDefault="007F343E">
      <w:pPr>
        <w:rPr>
          <w:rFonts w:cstheme="minorHAnsi"/>
          <w:bCs/>
          <w:color w:val="000000"/>
          <w:sz w:val="24"/>
          <w:szCs w:val="24"/>
        </w:rPr>
      </w:pPr>
      <w:r w:rsidRPr="00AF6E72">
        <w:rPr>
          <w:rFonts w:cstheme="minorHAnsi"/>
          <w:bCs/>
          <w:color w:val="000000"/>
          <w:sz w:val="24"/>
          <w:szCs w:val="24"/>
        </w:rPr>
        <w:t>Management Approach 1: Promote sustained teacher professional development related to scientific inquiry; science, civics, and economics related to the environment; sustainability and natural-resources education; and rigorous, outdoor learning strategies and pedagogy to improve student learning and citizenship about the environment.</w:t>
      </w:r>
    </w:p>
    <w:p w:rsidR="007F343E" w:rsidRPr="00AF6E72" w:rsidRDefault="007F343E">
      <w:pPr>
        <w:rPr>
          <w:rFonts w:cstheme="minorHAnsi"/>
          <w:bCs/>
          <w:color w:val="000000"/>
          <w:sz w:val="24"/>
          <w:szCs w:val="24"/>
        </w:rPr>
      </w:pPr>
    </w:p>
    <w:p w:rsidR="007F343E" w:rsidRPr="00AF6E72" w:rsidRDefault="007F343E">
      <w:pPr>
        <w:rPr>
          <w:rFonts w:cstheme="minorHAnsi"/>
          <w:bCs/>
          <w:color w:val="000000"/>
          <w:sz w:val="24"/>
          <w:szCs w:val="24"/>
        </w:rPr>
      </w:pPr>
      <w:r w:rsidRPr="00AF6E72">
        <w:rPr>
          <w:rFonts w:cstheme="minorHAnsi"/>
          <w:bCs/>
          <w:color w:val="000000"/>
          <w:sz w:val="24"/>
          <w:szCs w:val="24"/>
        </w:rPr>
        <w:t>Management Approach 2: Promote, develop, and implement Meaningful Watershed Educational Experiences (MWEEs) with educators, local education agencies, school administrators, and third-party providers.</w:t>
      </w:r>
    </w:p>
    <w:p w:rsidR="007F343E" w:rsidRPr="00AF6E72" w:rsidRDefault="007F343E">
      <w:pPr>
        <w:rPr>
          <w:rFonts w:cstheme="minorHAnsi"/>
          <w:bCs/>
          <w:color w:val="000000"/>
          <w:sz w:val="24"/>
          <w:szCs w:val="24"/>
        </w:rPr>
      </w:pPr>
    </w:p>
    <w:p w:rsidR="007F343E" w:rsidRPr="00AF6E72" w:rsidRDefault="007F343E">
      <w:pPr>
        <w:rPr>
          <w:rFonts w:cstheme="minorHAnsi"/>
          <w:bCs/>
          <w:color w:val="000000"/>
          <w:sz w:val="24"/>
          <w:szCs w:val="24"/>
        </w:rPr>
      </w:pPr>
      <w:r w:rsidRPr="00AF6E72">
        <w:rPr>
          <w:rFonts w:cstheme="minorHAnsi"/>
          <w:bCs/>
          <w:color w:val="000000"/>
          <w:sz w:val="24"/>
          <w:szCs w:val="24"/>
        </w:rPr>
        <w:t>Management Approach 3: Communicate information about the outdoors, MWEEs, educational resources, and funding opportunities to support the development and implementation of rigorous, inquiry-based instruction and MWEE programs.</w:t>
      </w:r>
    </w:p>
    <w:p w:rsidR="007F343E" w:rsidRPr="00AF6E72" w:rsidRDefault="007F343E">
      <w:pPr>
        <w:rPr>
          <w:rFonts w:cstheme="minorHAnsi"/>
          <w:bCs/>
          <w:color w:val="000000"/>
          <w:sz w:val="24"/>
          <w:szCs w:val="24"/>
        </w:rPr>
      </w:pPr>
    </w:p>
    <w:p w:rsidR="007F343E" w:rsidRPr="00AF6E72" w:rsidRDefault="007F343E">
      <w:pPr>
        <w:rPr>
          <w:rFonts w:cstheme="minorHAnsi"/>
          <w:bCs/>
          <w:color w:val="000000"/>
          <w:sz w:val="24"/>
          <w:szCs w:val="24"/>
        </w:rPr>
      </w:pPr>
      <w:r w:rsidRPr="00AF6E72">
        <w:rPr>
          <w:rFonts w:cstheme="minorHAnsi"/>
          <w:bCs/>
          <w:color w:val="000000"/>
          <w:sz w:val="24"/>
          <w:szCs w:val="24"/>
        </w:rPr>
        <w:t>Management Approach 4: Support a state network of environmental education providers, including professional-development opportunities on research-based practices and up-to-date scientific and environmental information.</w:t>
      </w:r>
    </w:p>
    <w:p w:rsidR="007F343E" w:rsidRPr="00AF6E72" w:rsidRDefault="007F343E">
      <w:pPr>
        <w:rPr>
          <w:rFonts w:cstheme="minorHAnsi"/>
          <w:bCs/>
          <w:color w:val="000000"/>
          <w:sz w:val="24"/>
          <w:szCs w:val="24"/>
        </w:rPr>
      </w:pPr>
    </w:p>
    <w:p w:rsidR="007F343E" w:rsidRPr="00AF6E72" w:rsidRDefault="007F343E">
      <w:pPr>
        <w:rPr>
          <w:rFonts w:cstheme="minorHAnsi"/>
          <w:bCs/>
          <w:color w:val="000000"/>
          <w:sz w:val="24"/>
          <w:szCs w:val="24"/>
        </w:rPr>
      </w:pPr>
      <w:r w:rsidRPr="00AF6E72">
        <w:rPr>
          <w:rFonts w:cstheme="minorHAnsi"/>
          <w:bCs/>
          <w:color w:val="000000"/>
          <w:sz w:val="24"/>
          <w:szCs w:val="24"/>
        </w:rPr>
        <w:t xml:space="preserve">Management Approach 5: Work with state and local education and natural resource agencies to ensure that rigorous science and environment-related content </w:t>
      </w:r>
      <w:proofErr w:type="gramStart"/>
      <w:r w:rsidRPr="00AF6E72">
        <w:rPr>
          <w:rFonts w:cstheme="minorHAnsi"/>
          <w:bCs/>
          <w:color w:val="000000"/>
          <w:sz w:val="24"/>
          <w:szCs w:val="24"/>
        </w:rPr>
        <w:t>is effectively represented</w:t>
      </w:r>
      <w:proofErr w:type="gramEnd"/>
      <w:r w:rsidRPr="00AF6E72">
        <w:rPr>
          <w:rFonts w:cstheme="minorHAnsi"/>
          <w:bCs/>
          <w:color w:val="000000"/>
          <w:sz w:val="24"/>
          <w:szCs w:val="24"/>
        </w:rPr>
        <w:t xml:space="preserve"> in the Standards of Learning and the Curriculum Frameworks, and that agency and provider educational-support materials are fully aligned with the intent of the standards.</w:t>
      </w:r>
    </w:p>
    <w:p w:rsidR="007F343E" w:rsidRPr="00AF6E72" w:rsidRDefault="007F343E">
      <w:pPr>
        <w:rPr>
          <w:rFonts w:cstheme="minorHAnsi"/>
          <w:bCs/>
          <w:color w:val="000000"/>
          <w:sz w:val="24"/>
          <w:szCs w:val="24"/>
        </w:rPr>
      </w:pPr>
    </w:p>
    <w:p w:rsidR="007F343E" w:rsidRPr="00AF6E72" w:rsidRDefault="007F343E">
      <w:pPr>
        <w:rPr>
          <w:rFonts w:cstheme="minorHAnsi"/>
          <w:bCs/>
          <w:color w:val="000000"/>
          <w:sz w:val="24"/>
          <w:szCs w:val="24"/>
        </w:rPr>
      </w:pPr>
      <w:r w:rsidRPr="00AF6E72">
        <w:rPr>
          <w:rFonts w:cstheme="minorHAnsi"/>
          <w:bCs/>
          <w:color w:val="000000"/>
          <w:sz w:val="24"/>
          <w:szCs w:val="24"/>
        </w:rPr>
        <w:t xml:space="preserve">Management Approach 6: Develop and promote opportunities for students to pursue out of school leadership and enrichment programs, including afterschool and summer </w:t>
      </w:r>
      <w:proofErr w:type="gramStart"/>
      <w:r w:rsidRPr="00AF6E72">
        <w:rPr>
          <w:rFonts w:cstheme="minorHAnsi"/>
          <w:bCs/>
          <w:color w:val="000000"/>
          <w:sz w:val="24"/>
          <w:szCs w:val="24"/>
        </w:rPr>
        <w:t>programs, that</w:t>
      </w:r>
      <w:proofErr w:type="gramEnd"/>
      <w:r w:rsidRPr="00AF6E72">
        <w:rPr>
          <w:rFonts w:cstheme="minorHAnsi"/>
          <w:bCs/>
          <w:color w:val="000000"/>
          <w:sz w:val="24"/>
          <w:szCs w:val="24"/>
        </w:rPr>
        <w:t xml:space="preserve"> support in-depth understanding of environmental issues and opportunities to engage with solutions.</w:t>
      </w:r>
    </w:p>
    <w:p w:rsidR="007F343E" w:rsidRPr="00AF6E72" w:rsidRDefault="007F343E">
      <w:pPr>
        <w:rPr>
          <w:rFonts w:cstheme="minorHAnsi"/>
          <w:bCs/>
          <w:color w:val="000000"/>
          <w:sz w:val="24"/>
          <w:szCs w:val="24"/>
        </w:rPr>
      </w:pPr>
    </w:p>
    <w:p w:rsidR="007F343E" w:rsidRPr="00AF6E72" w:rsidRDefault="007F343E">
      <w:pPr>
        <w:rPr>
          <w:rFonts w:cstheme="minorHAnsi"/>
          <w:bCs/>
          <w:color w:val="000000"/>
          <w:sz w:val="24"/>
          <w:szCs w:val="24"/>
        </w:rPr>
      </w:pPr>
      <w:r w:rsidRPr="00AF6E72">
        <w:rPr>
          <w:rFonts w:cstheme="minorHAnsi"/>
          <w:bCs/>
          <w:color w:val="000000"/>
          <w:sz w:val="24"/>
          <w:szCs w:val="24"/>
        </w:rPr>
        <w:t>Management Approach 7: Support programs and networks that provide authentic student experiences towards college and career readiness related to STEM, Next Generation Science Standards or other rigorous science standards, social studies, and other related disciplines.</w:t>
      </w:r>
    </w:p>
    <w:p w:rsidR="007F343E" w:rsidRPr="00AF6E72" w:rsidRDefault="007F343E">
      <w:pPr>
        <w:rPr>
          <w:rFonts w:cstheme="minorHAnsi"/>
          <w:bCs/>
          <w:color w:val="000000"/>
          <w:sz w:val="24"/>
          <w:szCs w:val="24"/>
        </w:rPr>
      </w:pPr>
    </w:p>
    <w:p w:rsidR="007F343E" w:rsidRPr="00AF6E72" w:rsidRDefault="00AF6E72">
      <w:pPr>
        <w:rPr>
          <w:rFonts w:cstheme="minorHAnsi"/>
          <w:b/>
          <w:sz w:val="24"/>
          <w:szCs w:val="24"/>
        </w:rPr>
      </w:pPr>
      <w:r w:rsidRPr="00AF6E72">
        <w:rPr>
          <w:rFonts w:cstheme="minorHAnsi"/>
          <w:b/>
          <w:sz w:val="24"/>
          <w:szCs w:val="24"/>
        </w:rPr>
        <w:t>SUSTAINABLE SCHOOLS Goal</w:t>
      </w:r>
    </w:p>
    <w:p w:rsidR="00AF6E72" w:rsidRPr="00AF6E72" w:rsidRDefault="00AF6E72">
      <w:pPr>
        <w:rPr>
          <w:rFonts w:cstheme="minorHAnsi"/>
          <w:sz w:val="24"/>
          <w:szCs w:val="24"/>
        </w:rPr>
      </w:pPr>
      <w:r w:rsidRPr="00AF6E72">
        <w:rPr>
          <w:rFonts w:ascii="Calibri" w:hAnsi="Calibri"/>
          <w:bCs/>
          <w:color w:val="000000"/>
          <w:sz w:val="23"/>
          <w:szCs w:val="23"/>
          <w:shd w:val="clear" w:color="auto" w:fill="FFFFFF"/>
        </w:rPr>
        <w:lastRenderedPageBreak/>
        <w:t xml:space="preserve">Management Approach 1: Promote and strengthen “sustainable school” certification and recognition programs consistent with </w:t>
      </w:r>
      <w:proofErr w:type="gramStart"/>
      <w:r w:rsidRPr="00AF6E72">
        <w:rPr>
          <w:rFonts w:ascii="Calibri" w:hAnsi="Calibri"/>
          <w:bCs/>
          <w:color w:val="000000"/>
          <w:sz w:val="23"/>
          <w:szCs w:val="23"/>
          <w:shd w:val="clear" w:color="auto" w:fill="FFFFFF"/>
        </w:rPr>
        <w:t>high-quality</w:t>
      </w:r>
      <w:proofErr w:type="gramEnd"/>
      <w:r w:rsidRPr="00AF6E72">
        <w:rPr>
          <w:rFonts w:ascii="Calibri" w:hAnsi="Calibri"/>
          <w:bCs/>
          <w:color w:val="000000"/>
          <w:sz w:val="23"/>
          <w:szCs w:val="23"/>
          <w:shd w:val="clear" w:color="auto" w:fill="FFFFFF"/>
        </w:rPr>
        <w:t>, objective, and agreed-upon criteria such as the U.S. Department of Education Green Ribbon School program.</w:t>
      </w:r>
    </w:p>
    <w:p w:rsidR="00AF6E72" w:rsidRPr="00AF6E72" w:rsidRDefault="00AF6E72">
      <w:pPr>
        <w:rPr>
          <w:rFonts w:cstheme="minorHAnsi"/>
          <w:sz w:val="24"/>
          <w:szCs w:val="24"/>
        </w:rPr>
      </w:pPr>
    </w:p>
    <w:p w:rsidR="00AF6E72" w:rsidRPr="00AF6E72" w:rsidRDefault="00AF6E72">
      <w:pPr>
        <w:rPr>
          <w:rFonts w:ascii="Calibri" w:hAnsi="Calibri"/>
          <w:bCs/>
          <w:color w:val="000000"/>
          <w:sz w:val="23"/>
          <w:szCs w:val="23"/>
          <w:shd w:val="clear" w:color="auto" w:fill="FFFFFF"/>
        </w:rPr>
      </w:pPr>
      <w:r w:rsidRPr="00AF6E72">
        <w:rPr>
          <w:rFonts w:ascii="Calibri" w:hAnsi="Calibri"/>
          <w:bCs/>
          <w:color w:val="000000"/>
          <w:sz w:val="23"/>
          <w:szCs w:val="23"/>
          <w:shd w:val="clear" w:color="auto" w:fill="FFFFFF"/>
        </w:rPr>
        <w:t>Management Approach 2: Broaden stakeholder engagement to include focus on health, including health and nutrition, indoor air quality, chemicals, pest management, and other issues that might adversely affect health at schools.</w:t>
      </w:r>
    </w:p>
    <w:p w:rsidR="00AF6E72" w:rsidRPr="00AF6E72" w:rsidRDefault="00AF6E72">
      <w:pPr>
        <w:rPr>
          <w:rFonts w:ascii="Calibri" w:hAnsi="Calibri"/>
          <w:bCs/>
          <w:color w:val="000000"/>
          <w:sz w:val="23"/>
          <w:szCs w:val="23"/>
          <w:shd w:val="clear" w:color="auto" w:fill="FFFFFF"/>
        </w:rPr>
      </w:pPr>
    </w:p>
    <w:p w:rsidR="00AF6E72" w:rsidRPr="00AF6E72" w:rsidRDefault="00AF6E72">
      <w:pPr>
        <w:rPr>
          <w:rFonts w:ascii="Calibri" w:hAnsi="Calibri"/>
          <w:bCs/>
          <w:color w:val="000000"/>
          <w:sz w:val="23"/>
          <w:szCs w:val="23"/>
          <w:shd w:val="clear" w:color="auto" w:fill="FFFFFF"/>
        </w:rPr>
      </w:pPr>
      <w:r w:rsidRPr="00AF6E72">
        <w:rPr>
          <w:rFonts w:ascii="Calibri" w:hAnsi="Calibri"/>
          <w:bCs/>
          <w:color w:val="000000"/>
          <w:sz w:val="23"/>
          <w:szCs w:val="23"/>
          <w:shd w:val="clear" w:color="auto" w:fill="FFFFFF"/>
        </w:rPr>
        <w:t>Management Approach 3: Promote, develop, and/or disseminate needs assessments, training, technical resources, and promotional materials for “sustainable school” stakeholders.</w:t>
      </w:r>
    </w:p>
    <w:p w:rsidR="00AF6E72" w:rsidRPr="00AF6E72" w:rsidRDefault="00AF6E72">
      <w:pPr>
        <w:rPr>
          <w:rFonts w:ascii="Calibri" w:hAnsi="Calibri"/>
          <w:bCs/>
          <w:color w:val="000000"/>
          <w:sz w:val="23"/>
          <w:szCs w:val="23"/>
          <w:shd w:val="clear" w:color="auto" w:fill="FFFFFF"/>
        </w:rPr>
      </w:pPr>
    </w:p>
    <w:p w:rsidR="00AF6E72" w:rsidRPr="00AF6E72" w:rsidRDefault="00AF6E72">
      <w:pPr>
        <w:rPr>
          <w:rFonts w:ascii="Calibri" w:hAnsi="Calibri"/>
          <w:bCs/>
          <w:color w:val="000000"/>
          <w:sz w:val="23"/>
          <w:szCs w:val="23"/>
          <w:shd w:val="clear" w:color="auto" w:fill="FFFFFF"/>
        </w:rPr>
      </w:pPr>
      <w:r w:rsidRPr="00AF6E72">
        <w:rPr>
          <w:rFonts w:ascii="Calibri" w:hAnsi="Calibri"/>
          <w:bCs/>
          <w:color w:val="000000"/>
          <w:sz w:val="23"/>
          <w:szCs w:val="23"/>
          <w:shd w:val="clear" w:color="auto" w:fill="FFFFFF"/>
        </w:rPr>
        <w:t xml:space="preserve">Management Approach 4: Identify and promote the use of best management practices at school sites related to watershed and habitat restoration, </w:t>
      </w:r>
      <w:proofErr w:type="spellStart"/>
      <w:r w:rsidRPr="00AF6E72">
        <w:rPr>
          <w:rFonts w:ascii="Calibri" w:hAnsi="Calibri"/>
          <w:bCs/>
          <w:color w:val="000000"/>
          <w:sz w:val="23"/>
          <w:szCs w:val="23"/>
          <w:shd w:val="clear" w:color="auto" w:fill="FFFFFF"/>
        </w:rPr>
        <w:t>stormwater</w:t>
      </w:r>
      <w:proofErr w:type="spellEnd"/>
      <w:r w:rsidRPr="00AF6E72">
        <w:rPr>
          <w:rFonts w:ascii="Calibri" w:hAnsi="Calibri"/>
          <w:bCs/>
          <w:color w:val="000000"/>
          <w:sz w:val="23"/>
          <w:szCs w:val="23"/>
          <w:shd w:val="clear" w:color="auto" w:fill="FFFFFF"/>
        </w:rPr>
        <w:t xml:space="preserve"> management, energy conservation, waste management, and overall environmental protection. **</w:t>
      </w:r>
    </w:p>
    <w:p w:rsidR="00AF6E72" w:rsidRPr="00AF6E72" w:rsidRDefault="00AF6E72">
      <w:pPr>
        <w:rPr>
          <w:rFonts w:ascii="Calibri" w:hAnsi="Calibri"/>
          <w:bCs/>
          <w:color w:val="000000"/>
          <w:sz w:val="23"/>
          <w:szCs w:val="23"/>
          <w:shd w:val="clear" w:color="auto" w:fill="FFFFFF"/>
        </w:rPr>
      </w:pPr>
    </w:p>
    <w:p w:rsidR="00AF6E72" w:rsidRPr="00AF6E72" w:rsidRDefault="00AF6E72">
      <w:pPr>
        <w:rPr>
          <w:rFonts w:ascii="Calibri" w:hAnsi="Calibri"/>
          <w:bCs/>
          <w:color w:val="000000"/>
          <w:sz w:val="23"/>
          <w:szCs w:val="23"/>
          <w:shd w:val="clear" w:color="auto" w:fill="FFFFFF"/>
        </w:rPr>
      </w:pPr>
    </w:p>
    <w:sectPr w:rsidR="00AF6E72" w:rsidRPr="00AF6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3E"/>
    <w:rsid w:val="007F343E"/>
    <w:rsid w:val="00AF6E72"/>
    <w:rsid w:val="00B5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C4A6"/>
  <w15:chartTrackingRefBased/>
  <w15:docId w15:val="{C04558F8-F4A9-4C7F-9462-D0049CAF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Ackerman</dc:creator>
  <cp:keywords/>
  <dc:description/>
  <cp:lastModifiedBy>Shannon_Sprague</cp:lastModifiedBy>
  <cp:revision>2</cp:revision>
  <cp:lastPrinted>2018-02-21T22:06:00Z</cp:lastPrinted>
  <dcterms:created xsi:type="dcterms:W3CDTF">2018-02-22T13:19:00Z</dcterms:created>
  <dcterms:modified xsi:type="dcterms:W3CDTF">2018-02-22T13:19:00Z</dcterms:modified>
</cp:coreProperties>
</file>