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9A389" w14:textId="319B5F2B" w:rsidR="00F97E37" w:rsidRDefault="00A1562D" w:rsidP="00F97E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AFE">
        <w:rPr>
          <w:noProof/>
        </w:rPr>
        <w:drawing>
          <wp:anchor distT="0" distB="0" distL="114300" distR="114300" simplePos="0" relativeHeight="251658240" behindDoc="0" locked="0" layoutInCell="1" allowOverlap="0" wp14:anchorId="0AF38508" wp14:editId="06B05231">
            <wp:simplePos x="0" y="0"/>
            <wp:positionH relativeFrom="column">
              <wp:posOffset>288834</wp:posOffset>
            </wp:positionH>
            <wp:positionV relativeFrom="paragraph">
              <wp:posOffset>-523059</wp:posOffset>
            </wp:positionV>
            <wp:extent cx="1209675" cy="12096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94" t="8387" r="7407" b="9677"/>
                    <a:stretch/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E37">
        <w:rPr>
          <w:rFonts w:ascii="Times New Roman" w:hAnsi="Times New Roman" w:cs="Times New Roman"/>
          <w:b/>
          <w:sz w:val="28"/>
          <w:szCs w:val="28"/>
        </w:rPr>
        <w:t>Chesapeake Bay Commission</w:t>
      </w:r>
    </w:p>
    <w:p w14:paraId="5893A26C" w14:textId="5F3D935B" w:rsidR="00F97E37" w:rsidRDefault="00F97E37" w:rsidP="00F97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E37">
        <w:rPr>
          <w:rFonts w:ascii="Times New Roman" w:hAnsi="Times New Roman" w:cs="Times New Roman"/>
          <w:b/>
          <w:sz w:val="28"/>
          <w:szCs w:val="28"/>
        </w:rPr>
        <w:t>Analysis of Proposed 2018 Farm Bill Conservation Title</w:t>
      </w:r>
    </w:p>
    <w:p w14:paraId="32CAF967" w14:textId="20A6947E" w:rsidR="00F97E37" w:rsidRPr="00F97E37" w:rsidRDefault="00F97E37" w:rsidP="00F97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EBB09" w14:textId="77777777" w:rsidR="00F97E37" w:rsidRPr="00F97E37" w:rsidRDefault="00F97E37" w:rsidP="00F97E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E37">
        <w:rPr>
          <w:rFonts w:ascii="Times New Roman" w:hAnsi="Times New Roman" w:cs="Times New Roman"/>
          <w:sz w:val="24"/>
          <w:szCs w:val="24"/>
        </w:rPr>
        <w:t xml:space="preserve">Status:  </w:t>
      </w:r>
      <w:r w:rsidRPr="00F97E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H.R. 2 </w:t>
      </w:r>
      <w:r w:rsidRPr="00F97E37">
        <w:rPr>
          <w:rFonts w:ascii="Times New Roman" w:hAnsi="Times New Roman" w:cs="Times New Roman"/>
          <w:sz w:val="24"/>
          <w:szCs w:val="24"/>
        </w:rPr>
        <w:t xml:space="preserve">Passed House Ag Committee </w:t>
      </w:r>
      <w:r>
        <w:rPr>
          <w:rFonts w:ascii="Times New Roman" w:hAnsi="Times New Roman" w:cs="Times New Roman"/>
          <w:sz w:val="24"/>
          <w:szCs w:val="24"/>
        </w:rPr>
        <w:t>April 18</w:t>
      </w:r>
      <w:r w:rsidRPr="00F97E37">
        <w:rPr>
          <w:rFonts w:ascii="Times New Roman" w:hAnsi="Times New Roman" w:cs="Times New Roman"/>
          <w:sz w:val="24"/>
          <w:szCs w:val="24"/>
        </w:rPr>
        <w:t>, 2018</w:t>
      </w:r>
    </w:p>
    <w:p w14:paraId="28EA2136" w14:textId="77777777" w:rsidR="00F97E37" w:rsidRPr="00F97E37" w:rsidRDefault="00F97E37" w:rsidP="00F97E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E37">
        <w:rPr>
          <w:rFonts w:ascii="Times New Roman" w:hAnsi="Times New Roman" w:cs="Times New Roman"/>
          <w:sz w:val="24"/>
          <w:szCs w:val="24"/>
        </w:rPr>
        <w:tab/>
      </w:r>
      <w:r w:rsidRPr="00F97E37">
        <w:rPr>
          <w:rFonts w:ascii="Times New Roman" w:hAnsi="Times New Roman" w:cs="Times New Roman"/>
          <w:sz w:val="24"/>
          <w:szCs w:val="24"/>
        </w:rPr>
        <w:tab/>
        <w:t>Mark-up expected in May</w:t>
      </w:r>
    </w:p>
    <w:p w14:paraId="3908DF65" w14:textId="77777777" w:rsidR="00F97E37" w:rsidRDefault="00F97E37" w:rsidP="00F97E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E37">
        <w:rPr>
          <w:rFonts w:ascii="Times New Roman" w:hAnsi="Times New Roman" w:cs="Times New Roman"/>
          <w:sz w:val="24"/>
          <w:szCs w:val="24"/>
        </w:rPr>
        <w:tab/>
      </w:r>
      <w:r w:rsidRPr="00F97E37">
        <w:rPr>
          <w:rFonts w:ascii="Times New Roman" w:hAnsi="Times New Roman" w:cs="Times New Roman"/>
          <w:sz w:val="24"/>
          <w:szCs w:val="24"/>
        </w:rPr>
        <w:tab/>
        <w:t>Senate version pending</w:t>
      </w:r>
    </w:p>
    <w:p w14:paraId="246F0A2C" w14:textId="77777777" w:rsidR="00F97E37" w:rsidRDefault="00F97E37" w:rsidP="00F97E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2E603B7" w14:textId="77777777" w:rsidR="00F97E37" w:rsidRDefault="00F97E37" w:rsidP="00F97E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769"/>
        <w:gridCol w:w="4200"/>
        <w:gridCol w:w="4060"/>
        <w:gridCol w:w="3921"/>
      </w:tblGrid>
      <w:tr w:rsidR="00D4794E" w:rsidRPr="00F97E37" w14:paraId="7AEF829F" w14:textId="77777777" w:rsidTr="00D4794E">
        <w:tc>
          <w:tcPr>
            <w:tcW w:w="4969" w:type="dxa"/>
            <w:gridSpan w:val="2"/>
          </w:tcPr>
          <w:p w14:paraId="5D295321" w14:textId="77777777" w:rsidR="00D4794E" w:rsidRPr="00F97E37" w:rsidRDefault="00D4794E" w:rsidP="00F97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E37">
              <w:rPr>
                <w:rFonts w:ascii="Times New Roman" w:hAnsi="Times New Roman" w:cs="Times New Roman"/>
                <w:b/>
                <w:sz w:val="24"/>
                <w:szCs w:val="24"/>
              </w:rPr>
              <w:t>CBC Farm Bill Priorities</w:t>
            </w:r>
          </w:p>
        </w:tc>
        <w:tc>
          <w:tcPr>
            <w:tcW w:w="4060" w:type="dxa"/>
          </w:tcPr>
          <w:p w14:paraId="1566F60D" w14:textId="77777777" w:rsidR="00D4794E" w:rsidRPr="00F97E37" w:rsidRDefault="00D4794E" w:rsidP="00F97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E37">
              <w:rPr>
                <w:rFonts w:ascii="Times New Roman" w:hAnsi="Times New Roman" w:cs="Times New Roman"/>
                <w:b/>
                <w:sz w:val="24"/>
                <w:szCs w:val="24"/>
              </w:rPr>
              <w:t>H.R. 2 Provisions</w:t>
            </w:r>
          </w:p>
        </w:tc>
        <w:tc>
          <w:tcPr>
            <w:tcW w:w="3921" w:type="dxa"/>
          </w:tcPr>
          <w:p w14:paraId="29FA1B21" w14:textId="60B8EED7" w:rsidR="00D4794E" w:rsidRPr="00F97E37" w:rsidRDefault="0017773B" w:rsidP="00F97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D4794E" w14:paraId="769BCC6D" w14:textId="77777777" w:rsidTr="00D4794E">
        <w:tc>
          <w:tcPr>
            <w:tcW w:w="769" w:type="dxa"/>
          </w:tcPr>
          <w:p w14:paraId="51731276" w14:textId="77777777" w:rsidR="00D4794E" w:rsidRDefault="00D4794E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</w:tcPr>
          <w:p w14:paraId="469806B8" w14:textId="77777777" w:rsidR="00D4794E" w:rsidRDefault="00D4794E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Focus the critical role of NRCS on providing Conservation Technical Assistance, development of practice standards and training to increase the availability of conservation professionals.</w:t>
            </w:r>
          </w:p>
        </w:tc>
        <w:tc>
          <w:tcPr>
            <w:tcW w:w="4060" w:type="dxa"/>
          </w:tcPr>
          <w:p w14:paraId="5146901E" w14:textId="72EC21DA" w:rsidR="00D4794E" w:rsidRDefault="00D4794E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3B2BE3">
              <w:rPr>
                <w:rFonts w:ascii="Times New Roman" w:hAnsi="Times New Roman" w:cs="Times New Roman"/>
                <w:sz w:val="24"/>
                <w:szCs w:val="24"/>
              </w:rPr>
              <w:t>2502 would provide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“alternative certification” of third-party TA providers.  The Secretary shall approve any qualified certification, such as Certified Crop Advisor, Certified Professional Agronomist or similar.</w:t>
            </w:r>
          </w:p>
          <w:p w14:paraId="1B13AF7C" w14:textId="77777777" w:rsidR="00D4794E" w:rsidRDefault="00D4794E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</w:tcPr>
          <w:p w14:paraId="5D3FE0B1" w14:textId="10F7CBDE" w:rsidR="00D4794E" w:rsidRDefault="0017773B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Still allows for Secretary’s discretion as to whether the program “meets or exceeds” USDA criteria.</w:t>
            </w:r>
          </w:p>
        </w:tc>
      </w:tr>
      <w:tr w:rsidR="00D4794E" w14:paraId="3669B3B4" w14:textId="77777777" w:rsidTr="00D4794E">
        <w:tc>
          <w:tcPr>
            <w:tcW w:w="769" w:type="dxa"/>
          </w:tcPr>
          <w:p w14:paraId="51FE618A" w14:textId="39E3FB2B" w:rsidR="00D4794E" w:rsidRDefault="00D4794E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</w:t>
            </w:r>
            <w:r w:rsidR="006C2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0" w:type="dxa"/>
          </w:tcPr>
          <w:p w14:paraId="26F0D35C" w14:textId="77777777" w:rsidR="00D4794E" w:rsidRPr="00DF07E9" w:rsidRDefault="00D4794E" w:rsidP="00DF0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Reserve a percentage of EQIP for direct state agency partnerships or for “State Agency-Approved/Prioritized projects.”</w:t>
            </w:r>
            <w:r w:rsidRPr="00DF0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</w:tcPr>
          <w:p w14:paraId="7FE93D4B" w14:textId="507BA899" w:rsidR="00D4794E" w:rsidRDefault="00D4794E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§2301(d) </w:t>
            </w:r>
            <w:r w:rsidR="003B2BE3">
              <w:rPr>
                <w:rFonts w:ascii="Times New Roman" w:hAnsi="Times New Roman" w:cs="Times New Roman"/>
                <w:sz w:val="24"/>
                <w:szCs w:val="24"/>
              </w:rPr>
              <w:t>would establish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program for “Stewardship Contracts” based on state priorities, up to 3 priorities/state.  Up to 50% of funds may be used for Stewardship Contracts.</w:t>
            </w:r>
          </w:p>
          <w:p w14:paraId="31E17463" w14:textId="77777777" w:rsidR="00D4794E" w:rsidRDefault="00D4794E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</w:tcPr>
          <w:p w14:paraId="313AC379" w14:textId="77777777" w:rsidR="00D4794E" w:rsidRDefault="00D4794E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94E" w14:paraId="04C6DE12" w14:textId="77777777" w:rsidTr="00D4794E">
        <w:tc>
          <w:tcPr>
            <w:tcW w:w="769" w:type="dxa"/>
          </w:tcPr>
          <w:p w14:paraId="101FC374" w14:textId="7A277D9B" w:rsidR="00D4794E" w:rsidRDefault="00D4794E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</w:t>
            </w:r>
            <w:r w:rsidR="006C2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0" w:type="dxa"/>
          </w:tcPr>
          <w:p w14:paraId="2D9A026C" w14:textId="5996F9B6" w:rsidR="00D4794E" w:rsidRDefault="00D4794E" w:rsidP="00D4794E">
            <w:pPr>
              <w:pStyle w:val="NormalWeb"/>
              <w:spacing w:before="0" w:beforeAutospacing="0" w:after="0" w:afterAutospacing="0"/>
            </w:pPr>
            <w:r>
              <w:t>Allow RCPP, EQIP or other programs to be delivered through a “block grant” or an analogous method between the conservation districts and state agricultural agencies, with administrative duties retained by NRCS</w:t>
            </w:r>
            <w:r w:rsidR="00042DEF">
              <w:t>.</w:t>
            </w:r>
          </w:p>
          <w:p w14:paraId="085BB571" w14:textId="77777777" w:rsidR="00D4794E" w:rsidRDefault="00D4794E" w:rsidP="00D4794E">
            <w:pPr>
              <w:pStyle w:val="NormalWeb"/>
              <w:spacing w:before="0" w:beforeAutospacing="0" w:after="0" w:afterAutospacing="0"/>
            </w:pPr>
          </w:p>
        </w:tc>
        <w:tc>
          <w:tcPr>
            <w:tcW w:w="4060" w:type="dxa"/>
          </w:tcPr>
          <w:p w14:paraId="414C591D" w14:textId="77777777" w:rsidR="00D4794E" w:rsidRDefault="00D4794E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3921" w:type="dxa"/>
          </w:tcPr>
          <w:p w14:paraId="290375B1" w14:textId="77777777" w:rsidR="00D4794E" w:rsidRDefault="00D4794E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94E" w14:paraId="68EAFC0A" w14:textId="77777777" w:rsidTr="00D4794E">
        <w:tc>
          <w:tcPr>
            <w:tcW w:w="769" w:type="dxa"/>
          </w:tcPr>
          <w:p w14:paraId="5C42190D" w14:textId="0039865B" w:rsidR="00D4794E" w:rsidRDefault="006C27C4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</w:tcPr>
          <w:p w14:paraId="56B4CCF9" w14:textId="77777777" w:rsidR="00346633" w:rsidRDefault="00346633" w:rsidP="00346633">
            <w:pPr>
              <w:pStyle w:val="NormalWeb"/>
              <w:spacing w:before="0" w:beforeAutospacing="0" w:after="0" w:afterAutospacing="0"/>
            </w:pPr>
            <w:r>
              <w:t xml:space="preserve">Enhance financial and technical support for the working lands programs. </w:t>
            </w:r>
          </w:p>
          <w:p w14:paraId="6EC7F09F" w14:textId="77777777" w:rsidR="00D4794E" w:rsidRDefault="00D4794E" w:rsidP="00346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</w:tcPr>
          <w:p w14:paraId="0766E8FE" w14:textId="70C43844" w:rsidR="00D4794E" w:rsidRDefault="003B2BE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EQIP authorization would increase, to</w:t>
            </w:r>
            <w:r w:rsidR="00346633">
              <w:rPr>
                <w:rFonts w:ascii="Times New Roman" w:hAnsi="Times New Roman" w:cs="Times New Roman"/>
                <w:sz w:val="24"/>
                <w:szCs w:val="24"/>
              </w:rPr>
              <w:t xml:space="preserve"> $2B in 2019 up to $3B in 2023.  </w:t>
            </w:r>
            <w:r w:rsidR="0034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Previously, the highest authorization is $1.75B in 2018.  However, the Conservation Stewardship Program has been eliminated.</w:t>
            </w:r>
          </w:p>
        </w:tc>
        <w:tc>
          <w:tcPr>
            <w:tcW w:w="3921" w:type="dxa"/>
          </w:tcPr>
          <w:p w14:paraId="12051B0A" w14:textId="4DE0A8B2" w:rsidR="00D4794E" w:rsidRDefault="0034663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CSP did not have a specific authorization, so the net difference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between EQIP increase v. CSP elimination is yet to be determined.</w:t>
            </w:r>
          </w:p>
        </w:tc>
      </w:tr>
      <w:tr w:rsidR="00D4794E" w14:paraId="37292D74" w14:textId="77777777" w:rsidTr="00D4794E">
        <w:tc>
          <w:tcPr>
            <w:tcW w:w="769" w:type="dxa"/>
          </w:tcPr>
          <w:p w14:paraId="19D3E852" w14:textId="74C1255D" w:rsidR="00D4794E" w:rsidRDefault="0034663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4a.</w:t>
            </w:r>
          </w:p>
        </w:tc>
        <w:tc>
          <w:tcPr>
            <w:tcW w:w="4200" w:type="dxa"/>
          </w:tcPr>
          <w:p w14:paraId="71845FB6" w14:textId="0B67103D" w:rsidR="00D4794E" w:rsidRDefault="0034663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RCPP:  Align with Regional Priorities</w:t>
            </w:r>
          </w:p>
        </w:tc>
        <w:tc>
          <w:tcPr>
            <w:tcW w:w="4060" w:type="dxa"/>
          </w:tcPr>
          <w:p w14:paraId="7E58C5B8" w14:textId="4C486576" w:rsidR="00D4794E" w:rsidRDefault="0034663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§2702(b) would require partners to quantify the environmental outcomes of the project.</w:t>
            </w:r>
          </w:p>
        </w:tc>
        <w:tc>
          <w:tcPr>
            <w:tcW w:w="3921" w:type="dxa"/>
          </w:tcPr>
          <w:p w14:paraId="2EA626BF" w14:textId="2A6829F0" w:rsidR="00D4794E" w:rsidRDefault="009E4BD0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not directly address alignment with regional priorities, but could be helpful when evaluating projects.</w:t>
            </w:r>
          </w:p>
        </w:tc>
      </w:tr>
      <w:tr w:rsidR="00D4794E" w14:paraId="18E395E3" w14:textId="77777777" w:rsidTr="00D4794E">
        <w:tc>
          <w:tcPr>
            <w:tcW w:w="769" w:type="dxa"/>
          </w:tcPr>
          <w:p w14:paraId="41C17A3B" w14:textId="2F6036D7" w:rsidR="00D4794E" w:rsidRDefault="0034663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4b.</w:t>
            </w:r>
          </w:p>
        </w:tc>
        <w:tc>
          <w:tcPr>
            <w:tcW w:w="4200" w:type="dxa"/>
          </w:tcPr>
          <w:p w14:paraId="367B0107" w14:textId="77E6B780" w:rsidR="00D4794E" w:rsidRDefault="0034663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RCPP:  Transparency</w:t>
            </w:r>
          </w:p>
        </w:tc>
        <w:tc>
          <w:tcPr>
            <w:tcW w:w="4060" w:type="dxa"/>
          </w:tcPr>
          <w:p w14:paraId="27E329FC" w14:textId="07518174" w:rsidR="00D4794E" w:rsidRDefault="009E4BD0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§2702(c) would require that the application process be “simplified.”</w:t>
            </w:r>
          </w:p>
        </w:tc>
        <w:tc>
          <w:tcPr>
            <w:tcW w:w="3921" w:type="dxa"/>
          </w:tcPr>
          <w:p w14:paraId="50CE641D" w14:textId="3A72D33C" w:rsidR="00D4794E" w:rsidRDefault="009E4BD0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other details are provided, but when combed with the quantification requirements, a “simplified” process could improve transparency of the program.</w:t>
            </w:r>
          </w:p>
        </w:tc>
      </w:tr>
      <w:tr w:rsidR="00D4794E" w14:paraId="3E9DF5AA" w14:textId="77777777" w:rsidTr="00D4794E">
        <w:tc>
          <w:tcPr>
            <w:tcW w:w="769" w:type="dxa"/>
          </w:tcPr>
          <w:p w14:paraId="6DF9E7C6" w14:textId="6224E2EF" w:rsidR="00D4794E" w:rsidRDefault="0034663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4c.</w:t>
            </w:r>
          </w:p>
        </w:tc>
        <w:tc>
          <w:tcPr>
            <w:tcW w:w="4200" w:type="dxa"/>
          </w:tcPr>
          <w:p w14:paraId="273D8D9E" w14:textId="0611B6A7" w:rsidR="00D4794E" w:rsidRDefault="0034663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RCPP:  Technical Assistance</w:t>
            </w:r>
          </w:p>
        </w:tc>
        <w:tc>
          <w:tcPr>
            <w:tcW w:w="4060" w:type="dxa"/>
          </w:tcPr>
          <w:p w14:paraId="7F6EB572" w14:textId="05849B63" w:rsidR="00D4794E" w:rsidRDefault="009E4BD0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3921" w:type="dxa"/>
          </w:tcPr>
          <w:p w14:paraId="5533C874" w14:textId="77777777" w:rsidR="00D4794E" w:rsidRDefault="00D4794E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633" w14:paraId="60BA9023" w14:textId="77777777" w:rsidTr="00D4794E">
        <w:tc>
          <w:tcPr>
            <w:tcW w:w="769" w:type="dxa"/>
          </w:tcPr>
          <w:p w14:paraId="70A0F5EA" w14:textId="159A7232" w:rsidR="00346633" w:rsidRDefault="0034663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4c.</w:t>
            </w:r>
          </w:p>
        </w:tc>
        <w:tc>
          <w:tcPr>
            <w:tcW w:w="4200" w:type="dxa"/>
          </w:tcPr>
          <w:p w14:paraId="6A07120F" w14:textId="1A04658D" w:rsidR="00346633" w:rsidRDefault="0034663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RCPP:  Funding</w:t>
            </w:r>
          </w:p>
        </w:tc>
        <w:tc>
          <w:tcPr>
            <w:tcW w:w="4060" w:type="dxa"/>
          </w:tcPr>
          <w:p w14:paraId="01BACCF9" w14:textId="51429CCE" w:rsidR="00346633" w:rsidRDefault="009E4BD0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§2704 would fund RCPP </w:t>
            </w:r>
            <w:r w:rsidR="00F12A41">
              <w:rPr>
                <w:rFonts w:ascii="Times New Roman" w:hAnsi="Times New Roman" w:cs="Times New Roman"/>
                <w:sz w:val="24"/>
                <w:szCs w:val="24"/>
              </w:rPr>
              <w:t>at $250M/year.</w:t>
            </w:r>
          </w:p>
          <w:p w14:paraId="03866BB9" w14:textId="532ECEEA" w:rsidR="002D1C23" w:rsidRDefault="002D1C2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4CF88" w14:textId="33128EF7" w:rsidR="002D1C23" w:rsidRDefault="002D1C2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§2702(b) would allow contract lengths exceeding five years, at the discretion of the Secretary.</w:t>
            </w:r>
          </w:p>
          <w:p w14:paraId="474B1CCA" w14:textId="77777777" w:rsidR="002D1C23" w:rsidRDefault="002D1C2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CB3A0" w14:textId="5B8D8AA9" w:rsidR="002D1C23" w:rsidRDefault="002D1C2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§2702(c)(2) would allow renewals of successful projects through an “expedited application process.”</w:t>
            </w:r>
          </w:p>
        </w:tc>
        <w:tc>
          <w:tcPr>
            <w:tcW w:w="3921" w:type="dxa"/>
          </w:tcPr>
          <w:p w14:paraId="14BF61FF" w14:textId="77777777" w:rsidR="00F12A41" w:rsidRDefault="00F12A4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 from $100M/year, but funds would not partially come from CRP/CREP.  To be determined whether the decrease in CRP/CREP and increase in RCPP will be a net </w:t>
            </w:r>
          </w:p>
          <w:p w14:paraId="1F984F2E" w14:textId="77777777" w:rsidR="00346633" w:rsidRDefault="00F12A4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benefit or not.</w:t>
            </w:r>
          </w:p>
          <w:p w14:paraId="10628BCC" w14:textId="77777777" w:rsidR="002D1C23" w:rsidRDefault="002D1C2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3C35D" w14:textId="7C1C284B" w:rsidR="002D1C23" w:rsidRDefault="002D1C2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Currently, contracts are 5 years, with a 1-year extension possible.</w:t>
            </w:r>
          </w:p>
        </w:tc>
      </w:tr>
      <w:tr w:rsidR="00F12A41" w14:paraId="7AB5C274" w14:textId="77777777" w:rsidTr="00D4794E">
        <w:tc>
          <w:tcPr>
            <w:tcW w:w="769" w:type="dxa"/>
          </w:tcPr>
          <w:p w14:paraId="2B58DDA4" w14:textId="3B60332B" w:rsidR="00F12A41" w:rsidRDefault="00F12A4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0" w:type="dxa"/>
          </w:tcPr>
          <w:p w14:paraId="0B3BB00D" w14:textId="6715DF1D" w:rsidR="00F12A41" w:rsidRDefault="00F12A4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 CRP to 30 Million Acres</w:t>
            </w:r>
          </w:p>
        </w:tc>
        <w:tc>
          <w:tcPr>
            <w:tcW w:w="4060" w:type="dxa"/>
          </w:tcPr>
          <w:p w14:paraId="0BDDA38A" w14:textId="78DDD3B7" w:rsidR="00F12A41" w:rsidRDefault="00F12A4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§2201(b) would increase enrollment from 25 million acres in 2010 to 29 million acres in 2023.</w:t>
            </w:r>
          </w:p>
        </w:tc>
        <w:tc>
          <w:tcPr>
            <w:tcW w:w="3921" w:type="dxa"/>
          </w:tcPr>
          <w:p w14:paraId="50D79D2E" w14:textId="4691093B" w:rsidR="00F12A41" w:rsidRDefault="00F12A4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 from 24 million acres in 2018.</w:t>
            </w:r>
          </w:p>
        </w:tc>
      </w:tr>
      <w:tr w:rsidR="00162311" w14:paraId="07988D77" w14:textId="77777777" w:rsidTr="00D4794E">
        <w:tc>
          <w:tcPr>
            <w:tcW w:w="769" w:type="dxa"/>
          </w:tcPr>
          <w:p w14:paraId="403B5B99" w14:textId="65737DD4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6a.</w:t>
            </w:r>
          </w:p>
        </w:tc>
        <w:tc>
          <w:tcPr>
            <w:tcW w:w="4200" w:type="dxa"/>
          </w:tcPr>
          <w:p w14:paraId="4035D11A" w14:textId="5ABD5DAC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CREP:  Encourage partnerships with NGOs for TA</w:t>
            </w:r>
          </w:p>
        </w:tc>
        <w:tc>
          <w:tcPr>
            <w:tcW w:w="4060" w:type="dxa"/>
          </w:tcPr>
          <w:p w14:paraId="6BA3A816" w14:textId="57E266F5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None.</w:t>
            </w:r>
          </w:p>
        </w:tc>
        <w:tc>
          <w:tcPr>
            <w:tcW w:w="3921" w:type="dxa"/>
            <w:vMerge w:val="restart"/>
          </w:tcPr>
          <w:p w14:paraId="32028B3A" w14:textId="77777777" w:rsidR="00E02BE2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changes are proposed that are a mix of positives and negatives.  On the positive side, §2201(c) would allow contract lengths of 15-30 years (up from 10-15 years) for riparian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forest buffers or when the conservation practices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rest of the field being infeasible to farm.  However, if the land is devoted to hardwood trees only one re-enrollment is allowed.  </w:t>
            </w:r>
          </w:p>
          <w:p w14:paraId="0DF6A5C3" w14:textId="0349670A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the negative side, rental rates would be reduced to 80% of county rates, and cost-share is reduced from 50 to 40%.</w:t>
            </w:r>
          </w:p>
          <w:p w14:paraId="276431CF" w14:textId="26A40A70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Also, in the last year of the contract, the landowner can begin preparations for cropping, and can begin preparations for organic farming 3 years before the end of the contract.</w:t>
            </w:r>
          </w:p>
          <w:p w14:paraId="7E313769" w14:textId="77777777" w:rsidR="00E02BE2" w:rsidRDefault="00E02BE2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44570" w14:textId="4B2A0DE7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311" w14:paraId="0444FB90" w14:textId="77777777" w:rsidTr="00D4794E">
        <w:tc>
          <w:tcPr>
            <w:tcW w:w="769" w:type="dxa"/>
          </w:tcPr>
          <w:p w14:paraId="52007364" w14:textId="1CBFD09C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6b.</w:t>
            </w:r>
          </w:p>
        </w:tc>
        <w:tc>
          <w:tcPr>
            <w:tcW w:w="4200" w:type="dxa"/>
          </w:tcPr>
          <w:p w14:paraId="765793A6" w14:textId="50625E6B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CREP:  Allow TA funding for riparian forest buffers to go directly to a state forestry agency</w:t>
            </w:r>
          </w:p>
        </w:tc>
        <w:tc>
          <w:tcPr>
            <w:tcW w:w="4060" w:type="dxa"/>
          </w:tcPr>
          <w:p w14:paraId="18C83CB8" w14:textId="036616B7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None.</w:t>
            </w:r>
          </w:p>
        </w:tc>
        <w:tc>
          <w:tcPr>
            <w:tcW w:w="3921" w:type="dxa"/>
            <w:vMerge/>
          </w:tcPr>
          <w:p w14:paraId="54CE2A98" w14:textId="77777777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311" w14:paraId="689E2B14" w14:textId="77777777" w:rsidTr="00D4794E">
        <w:tc>
          <w:tcPr>
            <w:tcW w:w="769" w:type="dxa"/>
          </w:tcPr>
          <w:p w14:paraId="3546DA6A" w14:textId="4FED6D12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6c.</w:t>
            </w:r>
          </w:p>
        </w:tc>
        <w:tc>
          <w:tcPr>
            <w:tcW w:w="4200" w:type="dxa"/>
          </w:tcPr>
          <w:p w14:paraId="7A35D6AB" w14:textId="2DCEF43C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CREP:  Allow for enrollment of riparian forest buffers that were previously unmaintained grass buffers.</w:t>
            </w:r>
          </w:p>
        </w:tc>
        <w:tc>
          <w:tcPr>
            <w:tcW w:w="4060" w:type="dxa"/>
          </w:tcPr>
          <w:p w14:paraId="7E7946DE" w14:textId="7E305FAE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None.</w:t>
            </w:r>
          </w:p>
        </w:tc>
        <w:tc>
          <w:tcPr>
            <w:tcW w:w="3921" w:type="dxa"/>
            <w:vMerge/>
          </w:tcPr>
          <w:p w14:paraId="0DA0B075" w14:textId="77777777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311" w14:paraId="27A59D58" w14:textId="77777777" w:rsidTr="00D4794E">
        <w:tc>
          <w:tcPr>
            <w:tcW w:w="769" w:type="dxa"/>
          </w:tcPr>
          <w:p w14:paraId="442B92C6" w14:textId="44B22251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6d.</w:t>
            </w:r>
          </w:p>
        </w:tc>
        <w:tc>
          <w:tcPr>
            <w:tcW w:w="4200" w:type="dxa"/>
          </w:tcPr>
          <w:p w14:paraId="56AA820E" w14:textId="6881B0F8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CREP:  Allow for pooling of maintenance payments.</w:t>
            </w:r>
          </w:p>
        </w:tc>
        <w:tc>
          <w:tcPr>
            <w:tcW w:w="4060" w:type="dxa"/>
          </w:tcPr>
          <w:p w14:paraId="664C41E7" w14:textId="7D7A1AC8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None.</w:t>
            </w:r>
          </w:p>
        </w:tc>
        <w:tc>
          <w:tcPr>
            <w:tcW w:w="3921" w:type="dxa"/>
            <w:vMerge/>
          </w:tcPr>
          <w:p w14:paraId="16892D90" w14:textId="77777777" w:rsidR="00162311" w:rsidRDefault="00162311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23" w14:paraId="7648EB9A" w14:textId="77777777" w:rsidTr="00D4794E">
        <w:tc>
          <w:tcPr>
            <w:tcW w:w="769" w:type="dxa"/>
          </w:tcPr>
          <w:p w14:paraId="7DB5796A" w14:textId="580B56D6" w:rsidR="002D1C23" w:rsidRDefault="002D1C2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00" w:type="dxa"/>
          </w:tcPr>
          <w:p w14:paraId="35FFCBB9" w14:textId="2CDA9B3F" w:rsidR="002D1C23" w:rsidRDefault="002D1C2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longer-term funding for annual practices.</w:t>
            </w:r>
          </w:p>
        </w:tc>
        <w:tc>
          <w:tcPr>
            <w:tcW w:w="4060" w:type="dxa"/>
          </w:tcPr>
          <w:p w14:paraId="3137478F" w14:textId="7D521D74" w:rsidR="002D1C23" w:rsidRDefault="002D1C2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new Stewardship Contracts under §2302(d) would last from 5 to 10 years.</w:t>
            </w:r>
          </w:p>
        </w:tc>
        <w:tc>
          <w:tcPr>
            <w:tcW w:w="3921" w:type="dxa"/>
          </w:tcPr>
          <w:p w14:paraId="30C0FA23" w14:textId="1886A6A5" w:rsidR="002D1C23" w:rsidRDefault="002D1C23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Currently, EQIP </w:t>
            </w:r>
            <w:r w:rsidR="00790F08">
              <w:rPr>
                <w:rFonts w:ascii="Times New Roman" w:hAnsi="Times New Roman" w:cs="Times New Roman"/>
                <w:sz w:val="24"/>
                <w:szCs w:val="24"/>
              </w:rPr>
              <w:t>contracts may be up to 10 years, but practice seems to be 3</w:t>
            </w:r>
            <w:r w:rsidR="003B2BE3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790F08">
              <w:rPr>
                <w:rFonts w:ascii="Times New Roman" w:hAnsi="Times New Roman" w:cs="Times New Roman"/>
                <w:sz w:val="24"/>
                <w:szCs w:val="24"/>
              </w:rPr>
              <w:t xml:space="preserve"> years, so a 5-year minimum would be helpful.</w:t>
            </w:r>
          </w:p>
        </w:tc>
      </w:tr>
      <w:tr w:rsidR="00790F08" w14:paraId="55176C2B" w14:textId="77777777" w:rsidTr="00D4794E">
        <w:tc>
          <w:tcPr>
            <w:tcW w:w="769" w:type="dxa"/>
          </w:tcPr>
          <w:p w14:paraId="387627DD" w14:textId="24C8CB45" w:rsidR="00790F08" w:rsidRDefault="00790F08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8a.</w:t>
            </w:r>
          </w:p>
        </w:tc>
        <w:tc>
          <w:tcPr>
            <w:tcW w:w="4200" w:type="dxa"/>
          </w:tcPr>
          <w:p w14:paraId="24DB335E" w14:textId="1D2198B3" w:rsidR="00790F08" w:rsidRDefault="00790F08" w:rsidP="00790F08">
            <w:pPr>
              <w:pStyle w:val="NormalWeb"/>
              <w:spacing w:before="0" w:beforeAutospacing="0" w:after="0" w:afterAutospacing="0"/>
            </w:pPr>
            <w:r>
              <w:t>ACEP (Ag Conservation Easement Program):  Baseline funding for ACEP should be restored and increased to at least $500 million annually over the next ten years.</w:t>
            </w:r>
          </w:p>
          <w:p w14:paraId="27E41D82" w14:textId="0A100D4F" w:rsidR="00790F08" w:rsidRDefault="00790F08" w:rsidP="00790F0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060" w:type="dxa"/>
          </w:tcPr>
          <w:p w14:paraId="754CBDFE" w14:textId="68010AD8" w:rsidR="00790F08" w:rsidRDefault="0017773B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§2501(a)(3) </w:t>
            </w:r>
            <w:r w:rsidR="003B2BE3">
              <w:rPr>
                <w:rFonts w:ascii="Times New Roman" w:hAnsi="Times New Roman" w:cs="Times New Roman"/>
                <w:sz w:val="24"/>
                <w:szCs w:val="24"/>
              </w:rPr>
              <w:t>would authorize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$500M annually through 2023.</w:t>
            </w:r>
          </w:p>
        </w:tc>
        <w:tc>
          <w:tcPr>
            <w:tcW w:w="3921" w:type="dxa"/>
          </w:tcPr>
          <w:p w14:paraId="1C21BB34" w14:textId="77777777" w:rsidR="00790F08" w:rsidRDefault="00790F08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3B" w14:paraId="4FCFF02E" w14:textId="77777777" w:rsidTr="00D4794E">
        <w:tc>
          <w:tcPr>
            <w:tcW w:w="769" w:type="dxa"/>
          </w:tcPr>
          <w:p w14:paraId="010DAE77" w14:textId="0DBCAA60" w:rsidR="0017773B" w:rsidRDefault="0017773B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8b.</w:t>
            </w:r>
          </w:p>
        </w:tc>
        <w:tc>
          <w:tcPr>
            <w:tcW w:w="4200" w:type="dxa"/>
          </w:tcPr>
          <w:p w14:paraId="5225CD80" w14:textId="77777777" w:rsidR="0017773B" w:rsidRDefault="0017773B" w:rsidP="0017773B">
            <w:pPr>
              <w:pStyle w:val="NormalWeb"/>
              <w:spacing w:before="0" w:beforeAutospacing="0" w:after="0" w:afterAutospacing="0"/>
            </w:pPr>
            <w:r>
              <w:t>ACEP:  Water quality benefits should be prioritized at the same level as wildlife benefits under the Wetlands Reserve Enhancement Partnership</w:t>
            </w:r>
          </w:p>
          <w:p w14:paraId="04EAC082" w14:textId="5F5859EB" w:rsidR="0017773B" w:rsidRDefault="0017773B" w:rsidP="00790F0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060" w:type="dxa"/>
          </w:tcPr>
          <w:p w14:paraId="3CE7F453" w14:textId="22869676" w:rsidR="0017773B" w:rsidRDefault="00E12B24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None.</w:t>
            </w:r>
          </w:p>
        </w:tc>
        <w:tc>
          <w:tcPr>
            <w:tcW w:w="3921" w:type="dxa"/>
          </w:tcPr>
          <w:p w14:paraId="2994E2DD" w14:textId="77777777" w:rsidR="0017773B" w:rsidRDefault="0017773B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4" w14:paraId="7CAAD4A8" w14:textId="77777777" w:rsidTr="00D4794E">
        <w:tc>
          <w:tcPr>
            <w:tcW w:w="769" w:type="dxa"/>
          </w:tcPr>
          <w:p w14:paraId="361E0FA5" w14:textId="01D5F8E5" w:rsidR="00E12B24" w:rsidRDefault="00E12B24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8c. </w:t>
            </w:r>
          </w:p>
        </w:tc>
        <w:tc>
          <w:tcPr>
            <w:tcW w:w="4200" w:type="dxa"/>
          </w:tcPr>
          <w:p w14:paraId="479ECDA3" w14:textId="6E0E9507" w:rsidR="00E12B24" w:rsidRDefault="00E12B24" w:rsidP="00E12B24">
            <w:pPr>
              <w:pStyle w:val="NormalWeb"/>
            </w:pPr>
            <w:r>
              <w:t xml:space="preserve">Improve the certification process to recognize the diversity of state/public programs.  </w:t>
            </w:r>
          </w:p>
          <w:p w14:paraId="3A4B037C" w14:textId="77777777" w:rsidR="00E12B24" w:rsidRDefault="00E12B24" w:rsidP="0017773B">
            <w:pPr>
              <w:pStyle w:val="NormalWeb"/>
              <w:spacing w:before="0" w:beforeAutospacing="0" w:after="0" w:afterAutospacing="0"/>
            </w:pPr>
          </w:p>
        </w:tc>
        <w:tc>
          <w:tcPr>
            <w:tcW w:w="4060" w:type="dxa"/>
          </w:tcPr>
          <w:p w14:paraId="3A0B9D47" w14:textId="77777777" w:rsidR="00E12B24" w:rsidRDefault="00E12B24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§2603(b)(2) would allow the adjustment of ranking criteria based on “geographic differences among states.”</w:t>
            </w:r>
          </w:p>
          <w:p w14:paraId="353AA971" w14:textId="77777777" w:rsidR="00E12B24" w:rsidRDefault="00E12B24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54448" w14:textId="394DE55E" w:rsidR="00E12B24" w:rsidRDefault="00E12B24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§2603(b)(3) would allow mineral development on eased land.</w:t>
            </w:r>
          </w:p>
          <w:p w14:paraId="7C652B2D" w14:textId="503649FE" w:rsidR="00E428FD" w:rsidRDefault="00E428FD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17DCC" w14:textId="7C1E571C" w:rsidR="00E428FD" w:rsidRDefault="00E428FD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§2603(b)(4) would allow certified entities to “use their own terms and conditions”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as long as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they are consistent with the purposes of the program, and would allow land trusts to be certified entities.</w:t>
            </w:r>
          </w:p>
          <w:p w14:paraId="6AD17E04" w14:textId="083D2F89" w:rsidR="00E12B24" w:rsidRDefault="00E12B24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</w:tcPr>
          <w:p w14:paraId="01DC54B8" w14:textId="77777777" w:rsidR="00E12B24" w:rsidRDefault="00E12B24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4" w14:paraId="472A4653" w14:textId="77777777" w:rsidTr="00D4794E">
        <w:tc>
          <w:tcPr>
            <w:tcW w:w="769" w:type="dxa"/>
          </w:tcPr>
          <w:p w14:paraId="787CFDC6" w14:textId="2C7877CC" w:rsidR="00E12B24" w:rsidRDefault="00E12B24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8d.</w:t>
            </w:r>
          </w:p>
        </w:tc>
        <w:tc>
          <w:tcPr>
            <w:tcW w:w="4200" w:type="dxa"/>
          </w:tcPr>
          <w:p w14:paraId="263495C9" w14:textId="58F7FC43" w:rsidR="00E12B24" w:rsidRDefault="00E12B24" w:rsidP="00E12B24">
            <w:pPr>
              <w:pStyle w:val="NormalWeb"/>
              <w:spacing w:before="0" w:beforeAutospacing="0" w:after="0" w:afterAutospacing="0"/>
            </w:pPr>
            <w:r>
              <w:t xml:space="preserve">Provide states and public programs with the flexibility to substitute parcels. </w:t>
            </w:r>
          </w:p>
          <w:p w14:paraId="6E208026" w14:textId="77777777" w:rsidR="00E12B24" w:rsidRDefault="00E12B24" w:rsidP="00E12B24">
            <w:pPr>
              <w:pStyle w:val="NormalWeb"/>
            </w:pPr>
          </w:p>
        </w:tc>
        <w:tc>
          <w:tcPr>
            <w:tcW w:w="4060" w:type="dxa"/>
          </w:tcPr>
          <w:p w14:paraId="6FE12F4F" w14:textId="67DCBAB9" w:rsidR="00E12B24" w:rsidRDefault="00E428FD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None.</w:t>
            </w:r>
          </w:p>
        </w:tc>
        <w:tc>
          <w:tcPr>
            <w:tcW w:w="3921" w:type="dxa"/>
          </w:tcPr>
          <w:p w14:paraId="2CE0CD21" w14:textId="77777777" w:rsidR="00E12B24" w:rsidRDefault="00E12B24" w:rsidP="00F9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64756" w14:textId="77777777" w:rsidR="00F97E37" w:rsidRPr="00F97E37" w:rsidRDefault="00F97E37" w:rsidP="00F97E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4B7A25" w14:textId="58468560" w:rsidR="00E428FD" w:rsidRDefault="00E428FD">
      <w:pPr>
        <w:rPr>
          <w:b/>
        </w:rPr>
      </w:pPr>
    </w:p>
    <w:p w14:paraId="448148F7" w14:textId="65E05B93" w:rsidR="00A926FC" w:rsidRPr="00E428FD" w:rsidRDefault="00E428FD" w:rsidP="00A926FC">
      <w:pPr>
        <w:tabs>
          <w:tab w:val="left" w:pos="28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428FD">
        <w:rPr>
          <w:rFonts w:ascii="Times New Roman" w:hAnsi="Times New Roman" w:cs="Times New Roman"/>
          <w:sz w:val="24"/>
          <w:szCs w:val="24"/>
        </w:rPr>
        <w:t>Other notable provisions:</w:t>
      </w:r>
      <w:r w:rsidR="00A926FC">
        <w:rPr>
          <w:rFonts w:ascii="Times New Roman" w:hAnsi="Times New Roman" w:cs="Times New Roman"/>
          <w:sz w:val="24"/>
          <w:szCs w:val="24"/>
        </w:rPr>
        <w:t xml:space="preserve"> Negative</w:t>
      </w:r>
    </w:p>
    <w:p w14:paraId="2BB1A315" w14:textId="08838943" w:rsidR="00E02BE2" w:rsidRDefault="00E02BE2" w:rsidP="00E02BE2">
      <w:pPr>
        <w:pStyle w:val="ListParagraph"/>
        <w:numPr>
          <w:ilvl w:val="0"/>
          <w:numId w:val="2"/>
        </w:numPr>
        <w:tabs>
          <w:tab w:val="left" w:pos="2880"/>
        </w:tabs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§2206(a) would allow a one-time early termination of CRP contracts that have been in place at least five years.</w:t>
      </w:r>
    </w:p>
    <w:p w14:paraId="79AA6C21" w14:textId="0034E56D" w:rsidR="00E428FD" w:rsidRDefault="00E428FD" w:rsidP="00E02BE2">
      <w:pPr>
        <w:pStyle w:val="ListParagraph"/>
        <w:numPr>
          <w:ilvl w:val="0"/>
          <w:numId w:val="2"/>
        </w:numPr>
        <w:tabs>
          <w:tab w:val="left" w:pos="2880"/>
        </w:tabs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§2302(b) would eliminate the 60% allocation of EQIP funding to livestock-related practices.  Given the ability of states to determine priorities, the impact of this is yet to be determined.</w:t>
      </w:r>
    </w:p>
    <w:p w14:paraId="08523A9A" w14:textId="3528A2B0" w:rsidR="00A926FC" w:rsidRPr="00A926FC" w:rsidRDefault="00A926FC" w:rsidP="00A926FC">
      <w:pPr>
        <w:tabs>
          <w:tab w:val="left" w:pos="288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notable provisions: Positive</w:t>
      </w:r>
    </w:p>
    <w:p w14:paraId="70DF4090" w14:textId="3E7B306E" w:rsidR="00E428FD" w:rsidRDefault="00E428FD" w:rsidP="00E02BE2">
      <w:pPr>
        <w:pStyle w:val="ListParagraph"/>
        <w:numPr>
          <w:ilvl w:val="0"/>
          <w:numId w:val="2"/>
        </w:numPr>
        <w:tabs>
          <w:tab w:val="left" w:pos="2880"/>
        </w:tabs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§2501(d) would remove the requirement for regional equity among states when allocating program funds.</w:t>
      </w:r>
    </w:p>
    <w:p w14:paraId="16FDC3DB" w14:textId="6C07D37E" w:rsidR="00E428FD" w:rsidRPr="00E428FD" w:rsidRDefault="00E02BE2" w:rsidP="00E02BE2">
      <w:pPr>
        <w:pStyle w:val="ListParagraph"/>
        <w:numPr>
          <w:ilvl w:val="0"/>
          <w:numId w:val="2"/>
        </w:numPr>
        <w:tabs>
          <w:tab w:val="left" w:pos="2880"/>
        </w:tabs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§2503(2) would reserve at least 10% of each conservation program to be used for source water protection.  Increased incentives and cost-share rates could be provided for projects that relate to water quality or quantity and provide “significant environmental benefits . . . outside of the land on which the practices are implemented.”</w:t>
      </w:r>
    </w:p>
    <w:sectPr w:rsidR="00E428FD" w:rsidRPr="00E428FD" w:rsidSect="00D4794E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BA18C" w14:textId="77777777" w:rsidR="00E02BE2" w:rsidRDefault="00E02BE2" w:rsidP="00E02BE2">
      <w:pPr>
        <w:spacing w:after="0" w:line="240" w:lineRule="auto"/>
      </w:pPr>
      <w:r>
        <w:separator/>
      </w:r>
    </w:p>
  </w:endnote>
  <w:endnote w:type="continuationSeparator" w:id="0">
    <w:p w14:paraId="03246209" w14:textId="77777777" w:rsidR="00E02BE2" w:rsidRDefault="00E02BE2" w:rsidP="00E0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A7F93" w14:textId="4985F2B8" w:rsidR="00E02BE2" w:rsidRDefault="00E02BE2" w:rsidP="00E02BE2">
    <w:pPr>
      <w:pStyle w:val="Footer"/>
      <w:jc w:val="right"/>
    </w:pPr>
    <w:r>
      <w:t>Prepared by CBC Staff 5-1-18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AD697" w14:textId="77777777" w:rsidR="00E02BE2" w:rsidRDefault="00E02BE2" w:rsidP="00E02BE2">
      <w:pPr>
        <w:spacing w:after="0" w:line="240" w:lineRule="auto"/>
      </w:pPr>
      <w:r>
        <w:separator/>
      </w:r>
    </w:p>
  </w:footnote>
  <w:footnote w:type="continuationSeparator" w:id="0">
    <w:p w14:paraId="61CDDBA6" w14:textId="77777777" w:rsidR="00E02BE2" w:rsidRDefault="00E02BE2" w:rsidP="00E02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82F58"/>
    <w:multiLevelType w:val="hybridMultilevel"/>
    <w:tmpl w:val="56C89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76D71"/>
    <w:multiLevelType w:val="hybridMultilevel"/>
    <w:tmpl w:val="54DA96C6"/>
    <w:lvl w:ilvl="0" w:tplc="C2C6C8D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37"/>
    <w:rsid w:val="00042DEF"/>
    <w:rsid w:val="000D076E"/>
    <w:rsid w:val="00162311"/>
    <w:rsid w:val="0017773B"/>
    <w:rsid w:val="002D1C23"/>
    <w:rsid w:val="00346633"/>
    <w:rsid w:val="003B2BE3"/>
    <w:rsid w:val="006C27C4"/>
    <w:rsid w:val="00790F08"/>
    <w:rsid w:val="009E4BD0"/>
    <w:rsid w:val="00A1562D"/>
    <w:rsid w:val="00A926FC"/>
    <w:rsid w:val="00C10000"/>
    <w:rsid w:val="00C81E81"/>
    <w:rsid w:val="00D4794E"/>
    <w:rsid w:val="00DB462E"/>
    <w:rsid w:val="00DF07E9"/>
    <w:rsid w:val="00E02BE2"/>
    <w:rsid w:val="00E12B24"/>
    <w:rsid w:val="00E428FD"/>
    <w:rsid w:val="00F12A41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F3AA9"/>
  <w15:chartTrackingRefBased/>
  <w15:docId w15:val="{C1500540-CAE5-437C-8712-D109B435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7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2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E2"/>
  </w:style>
  <w:style w:type="paragraph" w:styleId="Footer">
    <w:name w:val="footer"/>
    <w:basedOn w:val="Normal"/>
    <w:link w:val="FooterChar"/>
    <w:uiPriority w:val="99"/>
    <w:unhideWhenUsed/>
    <w:rsid w:val="00E02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78503959E1A4EAF528270AFA2BC08" ma:contentTypeVersion="8" ma:contentTypeDescription="Create a new document." ma:contentTypeScope="" ma:versionID="9449f0859036de8d10e954f0e51280ca">
  <xsd:schema xmlns:xsd="http://www.w3.org/2001/XMLSchema" xmlns:xs="http://www.w3.org/2001/XMLSchema" xmlns:p="http://schemas.microsoft.com/office/2006/metadata/properties" xmlns:ns2="0dc3134e-2050-4cb8-a5be-0b715e20025a" xmlns:ns3="d04ebbaf-5baf-4408-9a0b-69050cb98962" targetNamespace="http://schemas.microsoft.com/office/2006/metadata/properties" ma:root="true" ma:fieldsID="730806e4cce9fb0dca8d2194210e10f1" ns2:_="" ns3:_="">
    <xsd:import namespace="0dc3134e-2050-4cb8-a5be-0b715e20025a"/>
    <xsd:import namespace="d04ebbaf-5baf-4408-9a0b-69050cb989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3134e-2050-4cb8-a5be-0b715e200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bbaf-5baf-4408-9a0b-69050cb98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38E75-C6DE-4A27-8B49-BF6FC9FA6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B9EC3-354A-47F9-95F7-45E13696038E}">
  <ds:schemaRefs>
    <ds:schemaRef ds:uri="d04ebbaf-5baf-4408-9a0b-69050cb9896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dc3134e-2050-4cb8-a5be-0b715e20025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8D09FD-C11A-4E93-AE58-BEAE7DC14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3134e-2050-4cb8-a5be-0b715e20025a"/>
    <ds:schemaRef ds:uri="d04ebbaf-5baf-4408-9a0b-69050cb98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 King</dc:creator>
  <cp:keywords/>
  <dc:description/>
  <cp:lastModifiedBy>Marel King</cp:lastModifiedBy>
  <cp:revision>2</cp:revision>
  <dcterms:created xsi:type="dcterms:W3CDTF">2018-05-01T13:50:00Z</dcterms:created>
  <dcterms:modified xsi:type="dcterms:W3CDTF">2018-05-01T13:50:00Z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0x01010025178503959E1A4EAF528270AFA2BC08</vt:lpwstr>
  </property>
</Properties>
</file>