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61" w:rsidRDefault="00786C61" w:rsidP="007734BF">
      <w:pPr>
        <w:jc w:val="both"/>
        <w:rPr>
          <w:b/>
          <w:iCs/>
        </w:rPr>
      </w:pPr>
    </w:p>
    <w:p w:rsidR="00786C61" w:rsidRPr="00B57652" w:rsidRDefault="00786C61" w:rsidP="00786C61">
      <w:pPr>
        <w:jc w:val="center"/>
        <w:rPr>
          <w:b/>
          <w:iCs/>
          <w:sz w:val="28"/>
          <w:szCs w:val="28"/>
        </w:rPr>
      </w:pPr>
      <w:r w:rsidRPr="00B57652">
        <w:rPr>
          <w:b/>
          <w:iCs/>
          <w:sz w:val="28"/>
          <w:szCs w:val="28"/>
        </w:rPr>
        <w:t xml:space="preserve">Citizens Advisory Committee 2012 Recommendations to the </w:t>
      </w:r>
    </w:p>
    <w:p w:rsidR="00786C61" w:rsidRPr="00B57652" w:rsidRDefault="00786C61" w:rsidP="00786C61">
      <w:pPr>
        <w:jc w:val="center"/>
        <w:rPr>
          <w:b/>
          <w:iCs/>
          <w:sz w:val="28"/>
          <w:szCs w:val="28"/>
        </w:rPr>
      </w:pPr>
      <w:r w:rsidRPr="00B57652">
        <w:rPr>
          <w:b/>
          <w:iCs/>
          <w:sz w:val="28"/>
          <w:szCs w:val="28"/>
        </w:rPr>
        <w:t>Chesapeake Executive Council</w:t>
      </w:r>
    </w:p>
    <w:p w:rsidR="00786C61" w:rsidRPr="00786C61" w:rsidRDefault="00786C61" w:rsidP="00786C61">
      <w:pPr>
        <w:jc w:val="center"/>
        <w:rPr>
          <w:b/>
          <w:iCs/>
          <w:sz w:val="16"/>
          <w:szCs w:val="16"/>
        </w:rPr>
      </w:pPr>
    </w:p>
    <w:p w:rsidR="007734BF" w:rsidRPr="0086194B" w:rsidRDefault="007734BF" w:rsidP="007734BF">
      <w:pPr>
        <w:jc w:val="both"/>
        <w:rPr>
          <w:b/>
          <w:iCs/>
        </w:rPr>
      </w:pPr>
      <w:r w:rsidRPr="0086194B">
        <w:rPr>
          <w:b/>
          <w:iCs/>
        </w:rPr>
        <w:t>Citizen Engagement:</w:t>
      </w:r>
    </w:p>
    <w:p w:rsidR="004116DF" w:rsidRPr="004116DF" w:rsidRDefault="007734BF" w:rsidP="004116DF">
      <w:pPr>
        <w:jc w:val="both"/>
        <w:rPr>
          <w:iCs/>
        </w:rPr>
      </w:pPr>
      <w:r w:rsidRPr="00786C61">
        <w:rPr>
          <w:iCs/>
          <w:u w:val="single"/>
        </w:rPr>
        <w:t>Educate Our Youth</w:t>
      </w:r>
      <w:r w:rsidRPr="004116DF">
        <w:rPr>
          <w:iCs/>
        </w:rPr>
        <w:t xml:space="preserve"> – The Future Stewards of the Watershed:</w:t>
      </w:r>
    </w:p>
    <w:p w:rsidR="007734BF" w:rsidRPr="002217E2" w:rsidRDefault="002217E2" w:rsidP="002217E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Every State and the District of Columbia approve</w:t>
      </w:r>
      <w:r w:rsidR="004116DF" w:rsidRPr="002217E2">
        <w:rPr>
          <w:rFonts w:ascii="Times New Roman" w:hAnsi="Times New Roman"/>
          <w:color w:val="000000"/>
          <w:sz w:val="24"/>
          <w:szCs w:val="24"/>
        </w:rPr>
        <w:t xml:space="preserve"> an environmental literacy graduation requirement, ensuring that every </w:t>
      </w:r>
      <w:r w:rsidRPr="002217E2">
        <w:rPr>
          <w:rFonts w:ascii="Times New Roman" w:hAnsi="Times New Roman"/>
          <w:color w:val="000000"/>
          <w:sz w:val="24"/>
          <w:szCs w:val="24"/>
        </w:rPr>
        <w:t xml:space="preserve">watershed </w:t>
      </w:r>
      <w:r w:rsidR="004116DF" w:rsidRPr="002217E2">
        <w:rPr>
          <w:rFonts w:ascii="Times New Roman" w:hAnsi="Times New Roman"/>
          <w:color w:val="000000"/>
          <w:sz w:val="24"/>
          <w:szCs w:val="24"/>
        </w:rPr>
        <w:t>student receives a comprehensive, diverse environmental education before graduation from high school</w:t>
      </w:r>
    </w:p>
    <w:p w:rsidR="002217E2" w:rsidRPr="002217E2" w:rsidRDefault="002217E2" w:rsidP="002217E2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217E2">
        <w:rPr>
          <w:rFonts w:ascii="Times New Roman" w:hAnsi="Times New Roman"/>
          <w:sz w:val="24"/>
          <w:szCs w:val="24"/>
        </w:rPr>
        <w:t xml:space="preserve">Establish two year milestones for achieving the environmental literacy for all students in the watershed.    </w:t>
      </w:r>
    </w:p>
    <w:p w:rsidR="004116DF" w:rsidRPr="002217E2" w:rsidRDefault="004116DF" w:rsidP="002217E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Cs/>
          <w:sz w:val="24"/>
          <w:szCs w:val="24"/>
        </w:rPr>
      </w:pPr>
      <w:r w:rsidRPr="002217E2">
        <w:rPr>
          <w:rFonts w:ascii="Times New Roman" w:hAnsi="Times New Roman"/>
          <w:sz w:val="24"/>
          <w:szCs w:val="24"/>
        </w:rPr>
        <w:t xml:space="preserve">Encourage the Secretary of the U.S. Department of Education to sign a formal Memorandum of Understanding (MOU) with the Bay Program to actively support the environmental education efforts of the State and local education agencies in the watershed.  </w:t>
      </w:r>
    </w:p>
    <w:p w:rsidR="004116DF" w:rsidRPr="002217E2" w:rsidRDefault="00786C61" w:rsidP="002217E2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</w:t>
      </w:r>
      <w:r w:rsidR="004116DF" w:rsidRPr="002217E2">
        <w:rPr>
          <w:rFonts w:ascii="Times New Roman" w:hAnsi="Times New Roman"/>
          <w:sz w:val="24"/>
          <w:szCs w:val="24"/>
        </w:rPr>
        <w:t xml:space="preserve"> the </w:t>
      </w:r>
      <w:r w:rsidR="004116DF" w:rsidRPr="002217E2">
        <w:rPr>
          <w:rFonts w:ascii="Times New Roman" w:hAnsi="Times New Roman"/>
          <w:i/>
          <w:sz w:val="24"/>
          <w:szCs w:val="24"/>
        </w:rPr>
        <w:t xml:space="preserve">Mid-Atlantic Elementary and Secondary Environmental Literacy Strategy, </w:t>
      </w:r>
      <w:r w:rsidR="004116DF" w:rsidRPr="002217E2">
        <w:rPr>
          <w:rFonts w:ascii="Times New Roman" w:hAnsi="Times New Roman"/>
          <w:sz w:val="24"/>
          <w:szCs w:val="24"/>
        </w:rPr>
        <w:t xml:space="preserve">developed by NOAA in partnership with the States.   </w:t>
      </w:r>
    </w:p>
    <w:p w:rsidR="004116DF" w:rsidRPr="002217E2" w:rsidRDefault="00786C61" w:rsidP="002217E2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Bay Program partners support the </w:t>
      </w:r>
      <w:r w:rsidR="004116DF" w:rsidRPr="002217E2">
        <w:rPr>
          <w:rFonts w:ascii="Times New Roman" w:hAnsi="Times New Roman"/>
          <w:sz w:val="24"/>
          <w:szCs w:val="24"/>
        </w:rPr>
        <w:t xml:space="preserve">Land and Water Conservation Fund Landscape Collaborative and funding in the </w:t>
      </w:r>
      <w:r>
        <w:rPr>
          <w:rFonts w:ascii="Times New Roman" w:hAnsi="Times New Roman"/>
          <w:sz w:val="24"/>
          <w:szCs w:val="24"/>
        </w:rPr>
        <w:t xml:space="preserve">federal </w:t>
      </w:r>
      <w:r w:rsidR="004116DF" w:rsidRPr="002217E2">
        <w:rPr>
          <w:rFonts w:ascii="Times New Roman" w:hAnsi="Times New Roman"/>
          <w:sz w:val="24"/>
          <w:szCs w:val="24"/>
        </w:rPr>
        <w:t xml:space="preserve">Fiscal 2014 budget to support landscape-level conservation in the watershed.   </w:t>
      </w:r>
    </w:p>
    <w:p w:rsidR="004116DF" w:rsidRPr="002217E2" w:rsidRDefault="00786C61" w:rsidP="002217E2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 an MOU with the Bay Program and the </w:t>
      </w:r>
      <w:r w:rsidR="004116DF" w:rsidRPr="002217E2">
        <w:rPr>
          <w:rFonts w:ascii="Times New Roman" w:hAnsi="Times New Roman"/>
          <w:sz w:val="24"/>
          <w:szCs w:val="24"/>
        </w:rPr>
        <w:t>Bureau of Land Management and the Office of Surface Mining.</w:t>
      </w:r>
    </w:p>
    <w:p w:rsidR="004116DF" w:rsidRDefault="004116DF" w:rsidP="004116DF">
      <w:pPr>
        <w:jc w:val="both"/>
        <w:rPr>
          <w:iCs/>
        </w:rPr>
      </w:pPr>
    </w:p>
    <w:p w:rsidR="004116DF" w:rsidRDefault="007734BF" w:rsidP="004116DF">
      <w:pPr>
        <w:jc w:val="both"/>
        <w:rPr>
          <w:iCs/>
        </w:rPr>
      </w:pPr>
      <w:r w:rsidRPr="00786C61">
        <w:rPr>
          <w:iCs/>
          <w:u w:val="single"/>
        </w:rPr>
        <w:t>Public Access to the Bay and Rivers</w:t>
      </w:r>
      <w:r w:rsidRPr="004116DF">
        <w:rPr>
          <w:iCs/>
        </w:rPr>
        <w:t xml:space="preserve"> –Less than 2% of the 11,600 miles of tidal shore is publicly accessible: </w:t>
      </w:r>
    </w:p>
    <w:p w:rsidR="004116DF" w:rsidRPr="00786C61" w:rsidRDefault="004116DF" w:rsidP="007734BF">
      <w:pPr>
        <w:pStyle w:val="ListParagraph"/>
        <w:numPr>
          <w:ilvl w:val="0"/>
          <w:numId w:val="7"/>
        </w:numPr>
        <w:jc w:val="both"/>
        <w:rPr>
          <w:b/>
          <w:iCs/>
        </w:rPr>
      </w:pPr>
      <w:r w:rsidRPr="00786C61">
        <w:rPr>
          <w:rFonts w:ascii="Times New Roman" w:hAnsi="Times New Roman"/>
          <w:sz w:val="24"/>
          <w:szCs w:val="24"/>
        </w:rPr>
        <w:t>We encourage you to expand upon the current 2 percent of the watershed’s shoreline which is publicly accessible and establish new goals for land conservation and public access</w:t>
      </w:r>
      <w:r w:rsidR="00786C61">
        <w:rPr>
          <w:rFonts w:ascii="Times New Roman" w:hAnsi="Times New Roman"/>
          <w:sz w:val="24"/>
          <w:szCs w:val="24"/>
        </w:rPr>
        <w:t>.</w:t>
      </w:r>
      <w:r w:rsidRPr="00786C61">
        <w:rPr>
          <w:rFonts w:ascii="Times New Roman" w:hAnsi="Times New Roman"/>
          <w:sz w:val="24"/>
          <w:szCs w:val="24"/>
        </w:rPr>
        <w:t xml:space="preserve"> </w:t>
      </w:r>
    </w:p>
    <w:p w:rsidR="007734BF" w:rsidRPr="0086194B" w:rsidRDefault="007734BF" w:rsidP="007734BF">
      <w:pPr>
        <w:jc w:val="both"/>
        <w:rPr>
          <w:b/>
          <w:iCs/>
        </w:rPr>
      </w:pPr>
      <w:r w:rsidRPr="0086194B">
        <w:rPr>
          <w:b/>
          <w:iCs/>
        </w:rPr>
        <w:t>Accountability:</w:t>
      </w:r>
    </w:p>
    <w:p w:rsidR="007734BF" w:rsidRPr="004116DF" w:rsidRDefault="004116DF" w:rsidP="004116DF">
      <w:pPr>
        <w:jc w:val="both"/>
        <w:rPr>
          <w:iCs/>
        </w:rPr>
      </w:pPr>
      <w:r w:rsidRPr="00786C61">
        <w:rPr>
          <w:iCs/>
          <w:u w:val="single"/>
        </w:rPr>
        <w:t>Nutrient Trading:</w:t>
      </w:r>
      <w:r>
        <w:rPr>
          <w:iCs/>
        </w:rPr>
        <w:t xml:space="preserve"> </w:t>
      </w:r>
      <w:r w:rsidR="007734BF" w:rsidRPr="004116DF">
        <w:rPr>
          <w:iCs/>
        </w:rPr>
        <w:t xml:space="preserve">Success of the Bay TMDL partially hinges on Nutrient Trading- Trust but Verify:  </w:t>
      </w:r>
    </w:p>
    <w:p w:rsidR="004116DF" w:rsidRPr="00786C61" w:rsidRDefault="00786C61" w:rsidP="007734B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4116DF" w:rsidRPr="00786C61">
        <w:rPr>
          <w:rFonts w:ascii="Times New Roman" w:hAnsi="Times New Roman"/>
          <w:bCs/>
          <w:sz w:val="24"/>
          <w:szCs w:val="24"/>
        </w:rPr>
        <w:t>ecommend full transparency, verification and public involvement in the jurisdictions’ water quality nutrient trading programs.</w:t>
      </w:r>
    </w:p>
    <w:p w:rsidR="004116DF" w:rsidRPr="00786C61" w:rsidRDefault="00786C61" w:rsidP="004116D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</w:t>
      </w:r>
      <w:r w:rsidR="004116DF" w:rsidRPr="00786C61">
        <w:rPr>
          <w:rFonts w:ascii="Times New Roman" w:hAnsi="Times New Roman"/>
          <w:sz w:val="24"/>
          <w:szCs w:val="24"/>
        </w:rPr>
        <w:t>the two-year milestones </w:t>
      </w:r>
      <w:r>
        <w:rPr>
          <w:rFonts w:ascii="Times New Roman" w:hAnsi="Times New Roman"/>
          <w:sz w:val="24"/>
          <w:szCs w:val="24"/>
        </w:rPr>
        <w:t>and/</w:t>
      </w:r>
      <w:r w:rsidR="004116DF" w:rsidRPr="00786C61">
        <w:rPr>
          <w:rFonts w:ascii="Times New Roman" w:hAnsi="Times New Roman"/>
          <w:sz w:val="24"/>
          <w:szCs w:val="24"/>
        </w:rPr>
        <w:t xml:space="preserve">or the annual EC meetings to report on progress made to address the </w:t>
      </w:r>
      <w:r>
        <w:rPr>
          <w:rFonts w:ascii="Times New Roman" w:hAnsi="Times New Roman"/>
          <w:sz w:val="24"/>
          <w:szCs w:val="24"/>
        </w:rPr>
        <w:t>issues included in the EPA</w:t>
      </w:r>
      <w:r w:rsidR="004116DF" w:rsidRPr="00786C61">
        <w:rPr>
          <w:rFonts w:ascii="Times New Roman" w:hAnsi="Times New Roman"/>
          <w:sz w:val="24"/>
          <w:szCs w:val="24"/>
        </w:rPr>
        <w:t xml:space="preserve"> reviews</w:t>
      </w:r>
      <w:r>
        <w:rPr>
          <w:rFonts w:ascii="Times New Roman" w:hAnsi="Times New Roman"/>
          <w:sz w:val="24"/>
          <w:szCs w:val="24"/>
        </w:rPr>
        <w:t xml:space="preserve"> of the state’s trading programs</w:t>
      </w:r>
      <w:r w:rsidR="004116DF" w:rsidRPr="00786C61">
        <w:rPr>
          <w:rFonts w:ascii="Times New Roman" w:hAnsi="Times New Roman"/>
          <w:sz w:val="24"/>
          <w:szCs w:val="24"/>
        </w:rPr>
        <w:t xml:space="preserve"> as well as other issues (such as local water quality protection) raised by numerous stakeholders. </w:t>
      </w:r>
    </w:p>
    <w:p w:rsidR="004116DF" w:rsidRDefault="004116DF" w:rsidP="004116DF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:rsidR="007734BF" w:rsidRPr="004116DF" w:rsidRDefault="007734BF" w:rsidP="004116DF">
      <w:pPr>
        <w:jc w:val="both"/>
        <w:rPr>
          <w:iCs/>
        </w:rPr>
      </w:pPr>
      <w:r w:rsidRPr="00786C61">
        <w:rPr>
          <w:iCs/>
          <w:u w:val="single"/>
        </w:rPr>
        <w:t>WIPs and 2 Year Milestones</w:t>
      </w:r>
      <w:r w:rsidRPr="004116DF">
        <w:rPr>
          <w:iCs/>
        </w:rPr>
        <w:t xml:space="preserve"> – Verify Results and Report Implementation: </w:t>
      </w:r>
    </w:p>
    <w:p w:rsidR="007734BF" w:rsidRPr="00786C61" w:rsidRDefault="00786C61" w:rsidP="004116D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partner p</w:t>
      </w:r>
      <w:r w:rsidR="004116DF" w:rsidRPr="00786C61">
        <w:rPr>
          <w:rFonts w:ascii="Times New Roman" w:hAnsi="Times New Roman"/>
          <w:sz w:val="24"/>
          <w:szCs w:val="24"/>
        </w:rPr>
        <w:t>rovide a short summary at each Executive Council meeting of its progress in meeting reductions of pollution from their top five loading sources. The summary</w:t>
      </w:r>
      <w:r w:rsidR="00B57652">
        <w:rPr>
          <w:rFonts w:ascii="Times New Roman" w:hAnsi="Times New Roman"/>
          <w:sz w:val="24"/>
          <w:szCs w:val="24"/>
        </w:rPr>
        <w:t xml:space="preserve"> should include areas where jurisdictions</w:t>
      </w:r>
      <w:r w:rsidR="004116DF" w:rsidRPr="00786C61">
        <w:rPr>
          <w:rFonts w:ascii="Times New Roman" w:hAnsi="Times New Roman"/>
          <w:sz w:val="24"/>
          <w:szCs w:val="24"/>
        </w:rPr>
        <w:t xml:space="preserve"> are falling short of their goals along with an explanation of measures that will be pursued to address the gaps.</w:t>
      </w:r>
    </w:p>
    <w:p w:rsidR="004116DF" w:rsidRPr="00786C61" w:rsidRDefault="00786C61" w:rsidP="00786C61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116DF" w:rsidRPr="00786C61">
        <w:rPr>
          <w:rFonts w:ascii="Times New Roman" w:hAnsi="Times New Roman"/>
          <w:sz w:val="24"/>
          <w:szCs w:val="24"/>
        </w:rPr>
        <w:t>nclu</w:t>
      </w:r>
      <w:r w:rsidR="00B57652">
        <w:rPr>
          <w:rFonts w:ascii="Times New Roman" w:hAnsi="Times New Roman"/>
          <w:sz w:val="24"/>
          <w:szCs w:val="24"/>
        </w:rPr>
        <w:t>de specific mention of ways jurisdictions</w:t>
      </w:r>
      <w:r w:rsidR="004116DF" w:rsidRPr="00786C61">
        <w:rPr>
          <w:rFonts w:ascii="Times New Roman" w:hAnsi="Times New Roman"/>
          <w:sz w:val="24"/>
          <w:szCs w:val="24"/>
        </w:rPr>
        <w:t xml:space="preserve"> are improving the enforcement component of their work. </w:t>
      </w:r>
    </w:p>
    <w:p w:rsidR="007734BF" w:rsidRPr="00786C61" w:rsidRDefault="007734BF" w:rsidP="007734BF">
      <w:pPr>
        <w:jc w:val="both"/>
        <w:rPr>
          <w:b/>
          <w:iCs/>
        </w:rPr>
      </w:pPr>
      <w:r w:rsidRPr="0086194B">
        <w:rPr>
          <w:b/>
          <w:iCs/>
        </w:rPr>
        <w:t>Beyond Water Quality:</w:t>
      </w:r>
    </w:p>
    <w:p w:rsidR="007734BF" w:rsidRDefault="007734BF" w:rsidP="007734BF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D82482">
        <w:rPr>
          <w:rFonts w:ascii="Times New Roman" w:hAnsi="Times New Roman"/>
          <w:iCs/>
          <w:sz w:val="24"/>
          <w:szCs w:val="24"/>
        </w:rPr>
        <w:t>The General Public Care about Clean Water for Drinking, Swimming and Fishing – NOT TMDLs</w:t>
      </w:r>
      <w:r w:rsidR="00786C61">
        <w:rPr>
          <w:rFonts w:ascii="Times New Roman" w:hAnsi="Times New Roman"/>
          <w:iCs/>
          <w:sz w:val="24"/>
          <w:szCs w:val="24"/>
        </w:rPr>
        <w:t xml:space="preserve"> and WIPs</w:t>
      </w:r>
      <w:r w:rsidRPr="00D82482">
        <w:rPr>
          <w:rFonts w:ascii="Times New Roman" w:hAnsi="Times New Roman"/>
          <w:iCs/>
          <w:sz w:val="24"/>
          <w:szCs w:val="24"/>
        </w:rPr>
        <w:t xml:space="preserve">: </w:t>
      </w:r>
      <w:r w:rsidR="00786C61">
        <w:rPr>
          <w:rFonts w:ascii="Times New Roman" w:hAnsi="Times New Roman"/>
          <w:iCs/>
          <w:sz w:val="24"/>
          <w:szCs w:val="24"/>
        </w:rPr>
        <w:t xml:space="preserve">The jurisdictions should set </w:t>
      </w:r>
      <w:r w:rsidRPr="00D82482">
        <w:rPr>
          <w:rFonts w:ascii="Times New Roman" w:hAnsi="Times New Roman"/>
          <w:iCs/>
          <w:sz w:val="24"/>
          <w:szCs w:val="24"/>
        </w:rPr>
        <w:t>goals for restoration of fisheries, living resources and habitats,</w:t>
      </w:r>
      <w:r w:rsidR="004116DF">
        <w:rPr>
          <w:rFonts w:ascii="Times New Roman" w:hAnsi="Times New Roman"/>
          <w:iCs/>
          <w:sz w:val="24"/>
          <w:szCs w:val="24"/>
        </w:rPr>
        <w:t xml:space="preserve"> and stewardship</w:t>
      </w:r>
      <w:r w:rsidR="00786C61">
        <w:rPr>
          <w:rFonts w:ascii="Times New Roman" w:hAnsi="Times New Roman"/>
          <w:iCs/>
          <w:sz w:val="24"/>
          <w:szCs w:val="24"/>
        </w:rPr>
        <w:t>.</w:t>
      </w:r>
    </w:p>
    <w:p w:rsidR="004116DF" w:rsidRPr="00786C61" w:rsidRDefault="004116DF" w:rsidP="004116DF">
      <w:pPr>
        <w:jc w:val="both"/>
        <w:rPr>
          <w:b/>
          <w:iCs/>
        </w:rPr>
      </w:pPr>
    </w:p>
    <w:p w:rsidR="004116DF" w:rsidRPr="00786C61" w:rsidRDefault="004116DF" w:rsidP="004116DF">
      <w:pPr>
        <w:jc w:val="both"/>
        <w:rPr>
          <w:b/>
          <w:iCs/>
        </w:rPr>
      </w:pPr>
      <w:r w:rsidRPr="00786C61">
        <w:rPr>
          <w:b/>
          <w:iCs/>
        </w:rPr>
        <w:t>Conowingo Dam</w:t>
      </w:r>
    </w:p>
    <w:p w:rsidR="00B16BA9" w:rsidRPr="00786C61" w:rsidRDefault="00B57652" w:rsidP="00786C6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Remember Hurricane Agnes and c</w:t>
      </w:r>
      <w:r w:rsidR="004116DF" w:rsidRPr="00786C61">
        <w:rPr>
          <w:rFonts w:ascii="Times New Roman" w:hAnsi="Times New Roman"/>
          <w:sz w:val="24"/>
          <w:szCs w:val="24"/>
        </w:rPr>
        <w:t>onsider the cost of inaction in addressing sediment storage behind the Conowingo Dam.</w:t>
      </w:r>
    </w:p>
    <w:sectPr w:rsidR="00B16BA9" w:rsidRPr="00786C61" w:rsidSect="00B57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74D6"/>
    <w:multiLevelType w:val="hybridMultilevel"/>
    <w:tmpl w:val="9A820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BD4A16"/>
    <w:multiLevelType w:val="hybridMultilevel"/>
    <w:tmpl w:val="D6B44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E54365"/>
    <w:multiLevelType w:val="hybridMultilevel"/>
    <w:tmpl w:val="603EB152"/>
    <w:lvl w:ilvl="0" w:tplc="040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>
    <w:nsid w:val="59543FB7"/>
    <w:multiLevelType w:val="hybridMultilevel"/>
    <w:tmpl w:val="44E8E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68535F"/>
    <w:multiLevelType w:val="hybridMultilevel"/>
    <w:tmpl w:val="561624A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11B01"/>
    <w:multiLevelType w:val="hybridMultilevel"/>
    <w:tmpl w:val="5A1E9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6F58A1"/>
    <w:multiLevelType w:val="hybridMultilevel"/>
    <w:tmpl w:val="A3709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734BF"/>
    <w:rsid w:val="002217E2"/>
    <w:rsid w:val="002501D5"/>
    <w:rsid w:val="004116DF"/>
    <w:rsid w:val="006A7C56"/>
    <w:rsid w:val="00710E97"/>
    <w:rsid w:val="007734BF"/>
    <w:rsid w:val="00786C61"/>
    <w:rsid w:val="00B16BA9"/>
    <w:rsid w:val="00B57652"/>
    <w:rsid w:val="00C8289C"/>
    <w:rsid w:val="00F7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4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twilke</cp:lastModifiedBy>
  <cp:revision>2</cp:revision>
  <dcterms:created xsi:type="dcterms:W3CDTF">2012-07-30T13:08:00Z</dcterms:created>
  <dcterms:modified xsi:type="dcterms:W3CDTF">2012-07-30T13:08:00Z</dcterms:modified>
</cp:coreProperties>
</file>