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3C" w:rsidRPr="00AE687C" w:rsidRDefault="00A1673C" w:rsidP="00AE687C">
      <w:pPr>
        <w:pStyle w:val="NoSpacing"/>
        <w:jc w:val="center"/>
        <w:rPr>
          <w:sz w:val="40"/>
        </w:rPr>
      </w:pPr>
      <w:r w:rsidRPr="00AE687C">
        <w:rPr>
          <w:sz w:val="40"/>
        </w:rPr>
        <w:t xml:space="preserve">2011 </w:t>
      </w:r>
      <w:r w:rsidR="005D789F" w:rsidRPr="00AE687C">
        <w:rPr>
          <w:sz w:val="40"/>
        </w:rPr>
        <w:t>PROGRESS ON REDUCING N</w:t>
      </w:r>
      <w:r w:rsidRPr="00AE687C">
        <w:rPr>
          <w:sz w:val="40"/>
        </w:rPr>
        <w:t>ITROGEN,</w:t>
      </w:r>
    </w:p>
    <w:p w:rsidR="005D789F" w:rsidRPr="00AE687C" w:rsidRDefault="00A1673C" w:rsidP="00AE687C">
      <w:pPr>
        <w:pStyle w:val="NoSpacing"/>
        <w:jc w:val="center"/>
        <w:rPr>
          <w:sz w:val="40"/>
        </w:rPr>
      </w:pPr>
      <w:r w:rsidRPr="00AE687C">
        <w:rPr>
          <w:sz w:val="40"/>
        </w:rPr>
        <w:t>PHOSPHORUS</w:t>
      </w:r>
      <w:r w:rsidR="005D789F" w:rsidRPr="00AE687C">
        <w:rPr>
          <w:sz w:val="40"/>
        </w:rPr>
        <w:t xml:space="preserve"> AND SEDIMENT POLLUTION</w:t>
      </w:r>
    </w:p>
    <w:p w:rsidR="005D789F" w:rsidRPr="00AE687C" w:rsidRDefault="005D789F" w:rsidP="00AE687C">
      <w:pPr>
        <w:pStyle w:val="NoSpacing"/>
        <w:jc w:val="center"/>
        <w:rPr>
          <w:sz w:val="40"/>
        </w:rPr>
      </w:pPr>
      <w:r w:rsidRPr="00AE687C">
        <w:rPr>
          <w:sz w:val="40"/>
        </w:rPr>
        <w:t>BACKGROUNDER</w:t>
      </w:r>
    </w:p>
    <w:p w:rsidR="005D789F" w:rsidRPr="00AE687C" w:rsidRDefault="005D789F" w:rsidP="00AE687C">
      <w:pPr>
        <w:pStyle w:val="NoSpacing"/>
        <w:jc w:val="center"/>
        <w:rPr>
          <w:sz w:val="40"/>
        </w:rPr>
      </w:pPr>
      <w:r w:rsidRPr="00AE687C">
        <w:rPr>
          <w:sz w:val="40"/>
        </w:rPr>
        <w:t>(DRAFT OUTLINE)</w:t>
      </w:r>
    </w:p>
    <w:p w:rsidR="00AE687C" w:rsidRDefault="00AE687C" w:rsidP="005D789F">
      <w:pPr>
        <w:rPr>
          <w:sz w:val="24"/>
          <w:szCs w:val="24"/>
        </w:rPr>
      </w:pPr>
    </w:p>
    <w:p w:rsidR="005D789F" w:rsidRDefault="005D789F" w:rsidP="005D789F">
      <w:pPr>
        <w:rPr>
          <w:sz w:val="24"/>
          <w:szCs w:val="24"/>
        </w:rPr>
      </w:pPr>
      <w:r>
        <w:rPr>
          <w:sz w:val="24"/>
          <w:szCs w:val="24"/>
        </w:rPr>
        <w:t xml:space="preserve">Reducing Pollution – Building on Success and continually improving </w:t>
      </w:r>
    </w:p>
    <w:p w:rsidR="005D789F" w:rsidRDefault="005D789F" w:rsidP="005D78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Performance metrics first established in 1987 – long term goal of 40% nutrient reduction by 2010.  </w:t>
      </w:r>
    </w:p>
    <w:p w:rsidR="005D789F" w:rsidRDefault="005D789F" w:rsidP="005D789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Were able to measure against them</w:t>
      </w:r>
    </w:p>
    <w:p w:rsidR="005D789F" w:rsidRDefault="005D789F" w:rsidP="005D789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Helped drive priorities</w:t>
      </w:r>
    </w:p>
    <w:p w:rsidR="005D789F" w:rsidRDefault="005D789F" w:rsidP="005D789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Didn’t hold current executives responsible for setting goals accountable for meeting the goals </w:t>
      </w:r>
    </w:p>
    <w:p w:rsidR="00AE687C" w:rsidRDefault="00AE687C" w:rsidP="00AE687C">
      <w:pPr>
        <w:pStyle w:val="ListParagraph"/>
        <w:ind w:left="1440"/>
        <w:rPr>
          <w:sz w:val="24"/>
          <w:szCs w:val="24"/>
        </w:rPr>
      </w:pPr>
    </w:p>
    <w:p w:rsidR="005D789F" w:rsidRDefault="00170B53" w:rsidP="005D78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EC directed partnership to develop </w:t>
      </w:r>
      <w:r w:rsidR="005D789F">
        <w:rPr>
          <w:sz w:val="24"/>
          <w:szCs w:val="24"/>
        </w:rPr>
        <w:t xml:space="preserve">short term 2 year milestones </w:t>
      </w:r>
      <w:r>
        <w:rPr>
          <w:sz w:val="24"/>
          <w:szCs w:val="24"/>
        </w:rPr>
        <w:t>in 2008</w:t>
      </w:r>
    </w:p>
    <w:p w:rsidR="005D789F" w:rsidRDefault="005D789F" w:rsidP="005D789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Short term targets improve accountability</w:t>
      </w:r>
    </w:p>
    <w:p w:rsidR="005D789F" w:rsidRDefault="005D789F" w:rsidP="005D789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Provide maximum flexibility of approach by allowing contingenc</w:t>
      </w:r>
      <w:r w:rsidR="00170B53">
        <w:rPr>
          <w:sz w:val="24"/>
          <w:szCs w:val="24"/>
        </w:rPr>
        <w:t>ies</w:t>
      </w:r>
      <w:r>
        <w:rPr>
          <w:sz w:val="24"/>
          <w:szCs w:val="24"/>
        </w:rPr>
        <w:t xml:space="preserve"> if original set of practices are not reaching targets</w:t>
      </w:r>
    </w:p>
    <w:p w:rsidR="005D789F" w:rsidRDefault="005D789F" w:rsidP="005D789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Measure success against simulated pounds reduced</w:t>
      </w:r>
    </w:p>
    <w:p w:rsidR="00AE687C" w:rsidRDefault="00AE687C" w:rsidP="00AE687C">
      <w:pPr>
        <w:pStyle w:val="ListParagraph"/>
        <w:ind w:left="1440"/>
        <w:rPr>
          <w:sz w:val="24"/>
          <w:szCs w:val="24"/>
        </w:rPr>
      </w:pPr>
    </w:p>
    <w:p w:rsidR="005D789F" w:rsidRDefault="005D789F" w:rsidP="005D78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NAS Reviewed the concept of 2 year milestones and found:</w:t>
      </w:r>
    </w:p>
    <w:p w:rsidR="005D789F" w:rsidRDefault="005D789F" w:rsidP="005D789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Concept should work to increase accountability</w:t>
      </w:r>
    </w:p>
    <w:p w:rsidR="005D789F" w:rsidRDefault="00170B53" w:rsidP="005D789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Need</w:t>
      </w:r>
      <w:r w:rsidR="005D789F">
        <w:rPr>
          <w:sz w:val="24"/>
          <w:szCs w:val="24"/>
        </w:rPr>
        <w:t xml:space="preserve"> consequences if milestone targets</w:t>
      </w:r>
      <w:r>
        <w:rPr>
          <w:sz w:val="24"/>
          <w:szCs w:val="24"/>
        </w:rPr>
        <w:t xml:space="preserve"> are not met</w:t>
      </w:r>
    </w:p>
    <w:p w:rsidR="005D789F" w:rsidRDefault="00170B53" w:rsidP="005D789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Need</w:t>
      </w:r>
      <w:r w:rsidR="005D789F">
        <w:rPr>
          <w:sz w:val="24"/>
          <w:szCs w:val="24"/>
        </w:rPr>
        <w:t xml:space="preserve"> to be measured against pounds reduced to provide for flexibility of approach</w:t>
      </w:r>
    </w:p>
    <w:p w:rsidR="00AE687C" w:rsidRDefault="00AE687C" w:rsidP="00AE687C">
      <w:pPr>
        <w:pStyle w:val="ListParagraph"/>
        <w:ind w:left="1440"/>
        <w:rPr>
          <w:sz w:val="24"/>
          <w:szCs w:val="24"/>
        </w:rPr>
      </w:pPr>
    </w:p>
    <w:p w:rsidR="005D789F" w:rsidRDefault="005D789F" w:rsidP="005D78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Midway through 2009-11 milestones, the TMDL was developed </w:t>
      </w:r>
    </w:p>
    <w:p w:rsidR="005D789F" w:rsidRDefault="005D789F" w:rsidP="005D789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baseline, new target pollution loads, new BMPs, new tracking and accounting systems</w:t>
      </w:r>
    </w:p>
    <w:p w:rsidR="005D789F" w:rsidRDefault="005D789F" w:rsidP="005D789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Incorporated 2 year milestones into the accountability framework (didn’t throw the baby out with the bathwater)</w:t>
      </w:r>
    </w:p>
    <w:p w:rsidR="005D789F" w:rsidRDefault="005D789F" w:rsidP="005D789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Includes consequences and ability to measure success through simulated pounds of pollution reduced.</w:t>
      </w:r>
    </w:p>
    <w:p w:rsidR="00AE687C" w:rsidRDefault="00AE687C" w:rsidP="00AE687C">
      <w:pPr>
        <w:pStyle w:val="ListParagraph"/>
        <w:ind w:left="1440"/>
        <w:rPr>
          <w:sz w:val="24"/>
          <w:szCs w:val="24"/>
        </w:rPr>
      </w:pPr>
    </w:p>
    <w:p w:rsidR="005D789F" w:rsidRDefault="005D789F" w:rsidP="005D78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Ultimate question – are we making appropriate progress in meeting the tidal water quality standards for DO, Clarity, and chlorophyll a?</w:t>
      </w:r>
    </w:p>
    <w:p w:rsidR="005D789F" w:rsidRDefault="005D789F" w:rsidP="005D789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Near term – look at the practices put in place during the original 2009-11 milestone period against the practices planned in 2008 to meet the milestones</w:t>
      </w:r>
    </w:p>
    <w:p w:rsidR="005D789F" w:rsidRDefault="005D789F" w:rsidP="005D789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Near term – 2011 progress (first year of the TMDL) – Are we generally on a straight line trajectory to meet our targets in 2017?</w:t>
      </w:r>
    </w:p>
    <w:p w:rsidR="005D789F" w:rsidRDefault="005D789F" w:rsidP="005D789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Near term – 2012-13 Milestones </w:t>
      </w:r>
      <w:r w:rsidR="00170B53">
        <w:rPr>
          <w:sz w:val="24"/>
          <w:szCs w:val="24"/>
        </w:rPr>
        <w:t xml:space="preserve">and 2017 </w:t>
      </w:r>
      <w:r>
        <w:rPr>
          <w:sz w:val="24"/>
          <w:szCs w:val="24"/>
        </w:rPr>
        <w:t>planning targets – do they keep the jurisdictions on a trajectory to meet the 2017 target or is there reasonable assurance that the programs they are putting in place now will get them on track to meet the 2017 targets?</w:t>
      </w:r>
    </w:p>
    <w:p w:rsidR="005D789F" w:rsidRDefault="005D789F" w:rsidP="005D789F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Mid term</w:t>
      </w:r>
      <w:proofErr w:type="spellEnd"/>
      <w:r>
        <w:rPr>
          <w:sz w:val="24"/>
          <w:szCs w:val="24"/>
        </w:rPr>
        <w:t xml:space="preserve"> – Monitoring – 20 year record and new monitoring programs to determine whether the actions on the ground are reducing pollutants in the adjacent rivers.</w:t>
      </w:r>
    </w:p>
    <w:p w:rsidR="005D789F" w:rsidRDefault="005D789F" w:rsidP="005D789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Long term – Monitoring – Meeting water quality standards for DO, clarity, chlorophyll a</w:t>
      </w:r>
    </w:p>
    <w:p w:rsidR="00AE687C" w:rsidRDefault="00AE687C" w:rsidP="00AE687C">
      <w:pPr>
        <w:pStyle w:val="ListParagraph"/>
        <w:ind w:left="1440"/>
        <w:rPr>
          <w:sz w:val="24"/>
          <w:szCs w:val="24"/>
        </w:rPr>
      </w:pPr>
    </w:p>
    <w:p w:rsidR="005D789F" w:rsidRPr="00E736D0" w:rsidRDefault="005D789F" w:rsidP="005D789F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E736D0">
        <w:rPr>
          <w:i/>
          <w:sz w:val="24"/>
          <w:szCs w:val="24"/>
        </w:rPr>
        <w:t>Diet analogy</w:t>
      </w:r>
    </w:p>
    <w:p w:rsidR="005D789F" w:rsidRPr="00E736D0" w:rsidRDefault="005D789F" w:rsidP="005D789F">
      <w:pPr>
        <w:pStyle w:val="ListParagraph"/>
        <w:numPr>
          <w:ilvl w:val="1"/>
          <w:numId w:val="1"/>
        </w:numPr>
        <w:rPr>
          <w:i/>
          <w:sz w:val="24"/>
          <w:szCs w:val="24"/>
        </w:rPr>
      </w:pPr>
      <w:r w:rsidRPr="00E736D0">
        <w:rPr>
          <w:i/>
          <w:sz w:val="24"/>
          <w:szCs w:val="24"/>
        </w:rPr>
        <w:t>You don’t stand on the scale to see the difference between a Big Mac and a salad, you use a model based on calories that will eventually lead to reduction of weight measured by a scale</w:t>
      </w:r>
    </w:p>
    <w:p w:rsidR="005D789F" w:rsidRPr="00E736D0" w:rsidRDefault="005D789F" w:rsidP="005D789F">
      <w:pPr>
        <w:pStyle w:val="ListParagraph"/>
        <w:numPr>
          <w:ilvl w:val="1"/>
          <w:numId w:val="1"/>
        </w:numPr>
        <w:rPr>
          <w:i/>
          <w:sz w:val="24"/>
          <w:szCs w:val="24"/>
        </w:rPr>
      </w:pPr>
      <w:r w:rsidRPr="00E736D0">
        <w:rPr>
          <w:i/>
          <w:sz w:val="24"/>
          <w:szCs w:val="24"/>
        </w:rPr>
        <w:t xml:space="preserve">You don’t expect the scale to show the weight loss immediately after eating a salad or weight gain immediately after eating a big </w:t>
      </w:r>
      <w:proofErr w:type="spellStart"/>
      <w:r w:rsidRPr="00E736D0">
        <w:rPr>
          <w:i/>
          <w:sz w:val="24"/>
          <w:szCs w:val="24"/>
        </w:rPr>
        <w:t>mac</w:t>
      </w:r>
      <w:proofErr w:type="spellEnd"/>
      <w:r w:rsidRPr="00E736D0">
        <w:rPr>
          <w:i/>
          <w:sz w:val="24"/>
          <w:szCs w:val="24"/>
        </w:rPr>
        <w:t>, you estimate this by counting calories.</w:t>
      </w:r>
    </w:p>
    <w:p w:rsidR="005D789F" w:rsidRPr="00E736D0" w:rsidRDefault="005D789F" w:rsidP="005D789F">
      <w:pPr>
        <w:pStyle w:val="ListParagraph"/>
        <w:numPr>
          <w:ilvl w:val="1"/>
          <w:numId w:val="1"/>
        </w:numPr>
        <w:rPr>
          <w:i/>
          <w:sz w:val="24"/>
          <w:szCs w:val="24"/>
        </w:rPr>
      </w:pPr>
      <w:r w:rsidRPr="00E736D0">
        <w:rPr>
          <w:i/>
          <w:sz w:val="24"/>
          <w:szCs w:val="24"/>
        </w:rPr>
        <w:t>In the same way, you don’t monitor tidal waters to see the difference between one action/control or another, or expect instantaneous responses after putting a practice</w:t>
      </w:r>
      <w:r w:rsidR="00BD7A09" w:rsidRPr="00E736D0">
        <w:rPr>
          <w:i/>
          <w:sz w:val="24"/>
          <w:szCs w:val="24"/>
        </w:rPr>
        <w:t xml:space="preserve"> in place.  You use</w:t>
      </w:r>
      <w:r w:rsidRPr="00E736D0">
        <w:rPr>
          <w:i/>
          <w:sz w:val="24"/>
          <w:szCs w:val="24"/>
        </w:rPr>
        <w:t xml:space="preserve"> model</w:t>
      </w:r>
      <w:r w:rsidR="00BD7A09" w:rsidRPr="00E736D0">
        <w:rPr>
          <w:i/>
          <w:sz w:val="24"/>
          <w:szCs w:val="24"/>
        </w:rPr>
        <w:t>s</w:t>
      </w:r>
      <w:r w:rsidRPr="00E736D0">
        <w:rPr>
          <w:i/>
          <w:sz w:val="24"/>
          <w:szCs w:val="24"/>
        </w:rPr>
        <w:t xml:space="preserve"> to estimate those reductions, </w:t>
      </w:r>
      <w:r w:rsidR="00BD7A09" w:rsidRPr="00E736D0">
        <w:rPr>
          <w:i/>
          <w:sz w:val="24"/>
          <w:szCs w:val="24"/>
        </w:rPr>
        <w:t xml:space="preserve">estimate the impacts of those reductions on water quality, </w:t>
      </w:r>
      <w:r w:rsidRPr="00E736D0">
        <w:rPr>
          <w:i/>
          <w:sz w:val="24"/>
          <w:szCs w:val="24"/>
        </w:rPr>
        <w:t>and use the monitoring of tidal waters as a measure of your long term goal.</w:t>
      </w:r>
    </w:p>
    <w:p w:rsidR="005D789F" w:rsidRPr="00AE687C" w:rsidRDefault="005D789F" w:rsidP="005D789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736D0">
        <w:rPr>
          <w:i/>
          <w:sz w:val="24"/>
          <w:szCs w:val="24"/>
        </w:rPr>
        <w:t xml:space="preserve">We have something we can do that is in between.  We can, and are, setting up monitoring programs in the </w:t>
      </w:r>
      <w:proofErr w:type="spellStart"/>
      <w:r w:rsidR="00170B53" w:rsidRPr="00E736D0">
        <w:rPr>
          <w:i/>
          <w:sz w:val="24"/>
          <w:szCs w:val="24"/>
        </w:rPr>
        <w:t>nontidal</w:t>
      </w:r>
      <w:proofErr w:type="spellEnd"/>
      <w:r w:rsidR="00170B53" w:rsidRPr="00E736D0">
        <w:rPr>
          <w:i/>
          <w:sz w:val="24"/>
          <w:szCs w:val="24"/>
        </w:rPr>
        <w:t xml:space="preserve"> portions of </w:t>
      </w:r>
      <w:r w:rsidRPr="00E736D0">
        <w:rPr>
          <w:i/>
          <w:sz w:val="24"/>
          <w:szCs w:val="24"/>
        </w:rPr>
        <w:t xml:space="preserve">rivers </w:t>
      </w:r>
      <w:r w:rsidR="00170B53" w:rsidRPr="00E736D0">
        <w:rPr>
          <w:i/>
          <w:sz w:val="24"/>
          <w:szCs w:val="24"/>
        </w:rPr>
        <w:t>and streams that are</w:t>
      </w:r>
      <w:r w:rsidRPr="00E736D0">
        <w:rPr>
          <w:i/>
          <w:sz w:val="24"/>
          <w:szCs w:val="24"/>
        </w:rPr>
        <w:t xml:space="preserve"> adjacent to practices so that we can see early responses to the actions we are taking, and can learn and adjust strategies as we go.</w:t>
      </w:r>
    </w:p>
    <w:p w:rsidR="00AE687C" w:rsidRPr="00AE687C" w:rsidRDefault="00AE687C" w:rsidP="00AE687C">
      <w:pPr>
        <w:pStyle w:val="ListParagraph"/>
        <w:ind w:left="1440"/>
        <w:rPr>
          <w:sz w:val="24"/>
          <w:szCs w:val="24"/>
        </w:rPr>
      </w:pPr>
    </w:p>
    <w:p w:rsidR="005D789F" w:rsidRPr="00AE687C" w:rsidRDefault="005D789F" w:rsidP="00AE687C">
      <w:pPr>
        <w:pStyle w:val="NoSpacing"/>
        <w:rPr>
          <w:sz w:val="24"/>
        </w:rPr>
      </w:pPr>
      <w:r w:rsidRPr="00AE687C">
        <w:rPr>
          <w:sz w:val="24"/>
        </w:rPr>
        <w:t>2009-11 Milestones–  How did we do?</w:t>
      </w:r>
    </w:p>
    <w:p w:rsidR="005D789F" w:rsidRDefault="005D789F" w:rsidP="005D789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Factsheets 2009-11 Milestones</w:t>
      </w:r>
    </w:p>
    <w:p w:rsidR="005D789F" w:rsidRDefault="005D789F" w:rsidP="005D789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Bottom lines</w:t>
      </w:r>
    </w:p>
    <w:p w:rsidR="005D789F" w:rsidRPr="00B13205" w:rsidRDefault="005D789F" w:rsidP="005D789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Highlights</w:t>
      </w:r>
    </w:p>
    <w:p w:rsidR="00AE687C" w:rsidRDefault="00AE687C" w:rsidP="00AE687C">
      <w:pPr>
        <w:pStyle w:val="NoSpacing"/>
        <w:rPr>
          <w:sz w:val="24"/>
        </w:rPr>
      </w:pPr>
    </w:p>
    <w:p w:rsidR="005D789F" w:rsidRPr="00AE687C" w:rsidRDefault="005D789F" w:rsidP="00AE687C">
      <w:pPr>
        <w:pStyle w:val="NoSpacing"/>
        <w:rPr>
          <w:sz w:val="24"/>
        </w:rPr>
      </w:pPr>
      <w:r w:rsidRPr="00AE687C">
        <w:rPr>
          <w:sz w:val="24"/>
        </w:rPr>
        <w:t xml:space="preserve">2011 Progress - Are we on a trajectory to achieve the TMDL?  </w:t>
      </w:r>
    </w:p>
    <w:p w:rsidR="005D789F" w:rsidRDefault="005D789F" w:rsidP="005D789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Factsheet - 2011 Progress Run</w:t>
      </w:r>
    </w:p>
    <w:p w:rsidR="005D789F" w:rsidRPr="00E32F6C" w:rsidRDefault="005D789F" w:rsidP="005D789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Bottom Lines</w:t>
      </w:r>
    </w:p>
    <w:p w:rsidR="00AE687C" w:rsidRDefault="00AE687C" w:rsidP="00AE687C">
      <w:pPr>
        <w:pStyle w:val="NoSpacing"/>
        <w:rPr>
          <w:sz w:val="24"/>
        </w:rPr>
      </w:pPr>
    </w:p>
    <w:p w:rsidR="005D789F" w:rsidRPr="00AE687C" w:rsidRDefault="005D789F" w:rsidP="00AE687C">
      <w:pPr>
        <w:pStyle w:val="NoSpacing"/>
        <w:rPr>
          <w:sz w:val="24"/>
        </w:rPr>
      </w:pPr>
      <w:r w:rsidRPr="00AE687C">
        <w:rPr>
          <w:sz w:val="24"/>
        </w:rPr>
        <w:t>2012-13 Milestones - Are we committing to stay on that trajectory?</w:t>
      </w:r>
    </w:p>
    <w:p w:rsidR="005D789F" w:rsidRDefault="005D789F" w:rsidP="005D789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Factsheets - 2012-2013 Milestones</w:t>
      </w:r>
    </w:p>
    <w:p w:rsidR="005D789F" w:rsidRDefault="005D789F" w:rsidP="005D789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Why we don’t always see a straight line trajectory</w:t>
      </w:r>
    </w:p>
    <w:p w:rsidR="005D789F" w:rsidRPr="00A1673C" w:rsidRDefault="005D789F" w:rsidP="00A1673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Highlights</w:t>
      </w:r>
    </w:p>
    <w:sectPr w:rsidR="005D789F" w:rsidRPr="00A1673C" w:rsidSect="00512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126" w:rsidRDefault="00387126" w:rsidP="0045448C">
      <w:pPr>
        <w:spacing w:after="0"/>
      </w:pPr>
      <w:r>
        <w:separator/>
      </w:r>
    </w:p>
  </w:endnote>
  <w:endnote w:type="continuationSeparator" w:id="0">
    <w:p w:rsidR="00387126" w:rsidRDefault="00387126" w:rsidP="0045448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48C" w:rsidRDefault="004544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48C" w:rsidRDefault="0045448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48C" w:rsidRDefault="004544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126" w:rsidRDefault="00387126" w:rsidP="0045448C">
      <w:pPr>
        <w:spacing w:after="0"/>
      </w:pPr>
      <w:r>
        <w:separator/>
      </w:r>
    </w:p>
  </w:footnote>
  <w:footnote w:type="continuationSeparator" w:id="0">
    <w:p w:rsidR="00387126" w:rsidRDefault="00387126" w:rsidP="0045448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48C" w:rsidRDefault="004544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38017"/>
      <w:docPartObj>
        <w:docPartGallery w:val="Watermarks"/>
        <w:docPartUnique/>
      </w:docPartObj>
    </w:sdtPr>
    <w:sdtContent>
      <w:p w:rsidR="0045448C" w:rsidRDefault="009C407B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48C" w:rsidRDefault="004544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866AC"/>
    <w:multiLevelType w:val="hybridMultilevel"/>
    <w:tmpl w:val="3EFCC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A3800"/>
    <w:multiLevelType w:val="hybridMultilevel"/>
    <w:tmpl w:val="3320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D2367"/>
    <w:multiLevelType w:val="hybridMultilevel"/>
    <w:tmpl w:val="F3548E7E"/>
    <w:lvl w:ilvl="0" w:tplc="1ED89776">
      <w:start w:val="20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05CCD"/>
    <w:multiLevelType w:val="hybridMultilevel"/>
    <w:tmpl w:val="06B6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D789F"/>
    <w:rsid w:val="000C10D8"/>
    <w:rsid w:val="00120E85"/>
    <w:rsid w:val="00144DE7"/>
    <w:rsid w:val="00170B53"/>
    <w:rsid w:val="002E208C"/>
    <w:rsid w:val="002F440F"/>
    <w:rsid w:val="00387126"/>
    <w:rsid w:val="003C5146"/>
    <w:rsid w:val="003E06E4"/>
    <w:rsid w:val="0045448C"/>
    <w:rsid w:val="004E3C56"/>
    <w:rsid w:val="00512BC9"/>
    <w:rsid w:val="005D789F"/>
    <w:rsid w:val="006574CC"/>
    <w:rsid w:val="009C407B"/>
    <w:rsid w:val="00A1673C"/>
    <w:rsid w:val="00A4503B"/>
    <w:rsid w:val="00AE687C"/>
    <w:rsid w:val="00BD7A09"/>
    <w:rsid w:val="00C83AC7"/>
    <w:rsid w:val="00E7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89F"/>
    <w:pPr>
      <w:ind w:left="720"/>
      <w:contextualSpacing/>
    </w:pPr>
  </w:style>
  <w:style w:type="table" w:styleId="TableGrid">
    <w:name w:val="Table Grid"/>
    <w:basedOn w:val="TableNormal"/>
    <w:uiPriority w:val="59"/>
    <w:rsid w:val="005D789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16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7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7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73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73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7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5448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448C"/>
  </w:style>
  <w:style w:type="paragraph" w:styleId="Footer">
    <w:name w:val="footer"/>
    <w:basedOn w:val="Normal"/>
    <w:link w:val="FooterChar"/>
    <w:uiPriority w:val="99"/>
    <w:semiHidden/>
    <w:unhideWhenUsed/>
    <w:rsid w:val="0045448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448C"/>
  </w:style>
  <w:style w:type="paragraph" w:styleId="NoSpacing">
    <w:name w:val="No Spacing"/>
    <w:uiPriority w:val="1"/>
    <w:qFormat/>
    <w:rsid w:val="00AE687C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A06E5-6A74-4783-BA26-DA6554A68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539</Words>
  <Characters>3074</Characters>
  <Application>Microsoft Office Word</Application>
  <DocSecurity>0</DocSecurity>
  <Lines>25</Lines>
  <Paragraphs>7</Paragraphs>
  <ScaleCrop>false</ScaleCrop>
  <Company>US-EPA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cbisland</dc:creator>
  <cp:lastModifiedBy>gbarranc</cp:lastModifiedBy>
  <cp:revision>2</cp:revision>
  <cp:lastPrinted>2012-04-10T14:38:00Z</cp:lastPrinted>
  <dcterms:created xsi:type="dcterms:W3CDTF">2012-05-10T18:32:00Z</dcterms:created>
  <dcterms:modified xsi:type="dcterms:W3CDTF">2012-05-10T18:32:00Z</dcterms:modified>
</cp:coreProperties>
</file>