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7079" w14:textId="13D35CA5"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F71F18">
        <w:rPr>
          <w:color w:val="FFFFFF" w:themeColor="background1"/>
          <w:sz w:val="40"/>
        </w:rPr>
        <w:t>and</w:t>
      </w:r>
      <w:r w:rsidRPr="00FC7D91">
        <w:rPr>
          <w:color w:val="FFFFFF" w:themeColor="background1"/>
          <w:sz w:val="40"/>
        </w:rPr>
        <w:t xml:space="preserve"> Action Plan</w:t>
      </w:r>
      <w:r>
        <w:rPr>
          <w:color w:val="FFFFFF" w:themeColor="background1"/>
          <w:sz w:val="40"/>
        </w:rPr>
        <w:t>:</w:t>
      </w:r>
      <w:r w:rsidR="002D618D">
        <w:rPr>
          <w:color w:val="FFFFFF" w:themeColor="background1"/>
          <w:sz w:val="40"/>
        </w:rPr>
        <w:t xml:space="preserve"> </w:t>
      </w:r>
      <w:r w:rsidR="00A40BFA">
        <w:rPr>
          <w:color w:val="FFFFFF" w:themeColor="background1"/>
          <w:sz w:val="40"/>
        </w:rPr>
        <w:t>Post</w:t>
      </w:r>
      <w:r w:rsidR="002D618D">
        <w:rPr>
          <w:color w:val="FFFFFF" w:themeColor="background1"/>
          <w:sz w:val="40"/>
        </w:rPr>
        <w:t>-</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264C8F4A" w14:textId="561BF5BF" w:rsidR="00947AB3" w:rsidRPr="00E11F37" w:rsidRDefault="007D0225" w:rsidP="00FC7D91">
      <w:pPr>
        <w:spacing w:before="120" w:after="0"/>
        <w:rPr>
          <w:b/>
          <w:iCs/>
          <w:sz w:val="24"/>
          <w:szCs w:val="24"/>
        </w:rPr>
      </w:pPr>
      <w:r>
        <w:rPr>
          <w:b/>
          <w:sz w:val="24"/>
          <w:szCs w:val="24"/>
        </w:rPr>
        <w:t>Public Access Site Development</w:t>
      </w:r>
      <w:r w:rsidR="00947AB3">
        <w:rPr>
          <w:b/>
          <w:sz w:val="24"/>
          <w:szCs w:val="24"/>
        </w:rPr>
        <w:t xml:space="preserve">– </w:t>
      </w:r>
      <w:r>
        <w:rPr>
          <w:b/>
          <w:sz w:val="24"/>
          <w:szCs w:val="24"/>
        </w:rPr>
        <w:t>2022 - 2023</w:t>
      </w:r>
      <w:r w:rsidR="00FC7D91">
        <w:rPr>
          <w:b/>
          <w:sz w:val="24"/>
          <w:szCs w:val="24"/>
        </w:rPr>
        <w:t xml:space="preserve"> </w:t>
      </w:r>
      <w:r w:rsidR="00E11F37">
        <w:rPr>
          <w:iCs/>
          <w:sz w:val="24"/>
          <w:szCs w:val="24"/>
        </w:rPr>
        <w:t xml:space="preserve">By 2025, add 300 new public access sites, </w:t>
      </w:r>
      <w:r w:rsidR="00BD7AC8">
        <w:rPr>
          <w:iCs/>
          <w:sz w:val="24"/>
          <w:szCs w:val="24"/>
        </w:rPr>
        <w:t xml:space="preserve">with a strong emphasis on providing opportunities for boating, </w:t>
      </w:r>
      <w:proofErr w:type="gramStart"/>
      <w:r w:rsidR="00BD7AC8">
        <w:rPr>
          <w:iCs/>
          <w:sz w:val="24"/>
          <w:szCs w:val="24"/>
        </w:rPr>
        <w:t>swimming</w:t>
      </w:r>
      <w:proofErr w:type="gramEnd"/>
      <w:r w:rsidR="00BD7AC8">
        <w:rPr>
          <w:iCs/>
          <w:sz w:val="24"/>
          <w:szCs w:val="24"/>
        </w:rPr>
        <w:t xml:space="preserve"> and fishing, where feasible (2010 baseline year). </w:t>
      </w:r>
    </w:p>
    <w:p w14:paraId="479793FC" w14:textId="0699B5A1" w:rsidR="00947AB3" w:rsidRPr="003124B3" w:rsidRDefault="00947AB3" w:rsidP="00FC7D91">
      <w:pPr>
        <w:spacing w:before="120" w:after="0"/>
        <w:rPr>
          <w:sz w:val="24"/>
          <w:szCs w:val="24"/>
          <w:highlight w:val="yellow"/>
        </w:rPr>
      </w:pPr>
      <w:r>
        <w:rPr>
          <w:b/>
          <w:sz w:val="24"/>
          <w:szCs w:val="24"/>
        </w:rPr>
        <w:t xml:space="preserve">Long-term Target: </w:t>
      </w:r>
      <w:r w:rsidR="00957F63">
        <w:rPr>
          <w:sz w:val="24"/>
          <w:szCs w:val="24"/>
        </w:rPr>
        <w:t>300 new public access sites by 2025</w:t>
      </w:r>
      <w:r w:rsidRPr="00547FAB">
        <w:rPr>
          <w:sz w:val="24"/>
          <w:szCs w:val="24"/>
        </w:rPr>
        <w:t xml:space="preserve"> </w:t>
      </w:r>
    </w:p>
    <w:p w14:paraId="7B7E2CF9" w14:textId="3B4312F8" w:rsidR="00BB4814" w:rsidRPr="00B674B2" w:rsidRDefault="00947AB3" w:rsidP="00C82138">
      <w:pPr>
        <w:spacing w:after="120"/>
        <w:rPr>
          <w:bCs/>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w:t>
      </w:r>
      <w:r w:rsidR="00B674B2">
        <w:rPr>
          <w:b/>
          <w:sz w:val="24"/>
          <w:szCs w:val="24"/>
        </w:rPr>
        <w:t xml:space="preserve"> </w:t>
      </w:r>
      <w:r w:rsidR="00B674B2">
        <w:rPr>
          <w:bCs/>
          <w:sz w:val="24"/>
          <w:szCs w:val="24"/>
        </w:rPr>
        <w:t xml:space="preserve">The Public Access Workgroup has set an internal target, called a milestone, of 20 new public access sites annually. </w:t>
      </w:r>
      <w:r w:rsidR="00615573">
        <w:rPr>
          <w:bCs/>
          <w:sz w:val="24"/>
          <w:szCs w:val="24"/>
        </w:rPr>
        <w:t>This internal milestone is</w:t>
      </w:r>
      <w:r w:rsidR="00B674B2">
        <w:rPr>
          <w:bCs/>
          <w:sz w:val="24"/>
          <w:szCs w:val="24"/>
        </w:rPr>
        <w:t xml:space="preserve"> intended to establish a system for tracking </w:t>
      </w:r>
      <w:r w:rsidR="005B0CD9">
        <w:rPr>
          <w:bCs/>
          <w:sz w:val="24"/>
          <w:szCs w:val="24"/>
        </w:rPr>
        <w:t xml:space="preserve">progress relative to </w:t>
      </w:r>
      <w:r w:rsidR="00B674B2">
        <w:rPr>
          <w:bCs/>
          <w:sz w:val="24"/>
          <w:szCs w:val="24"/>
        </w:rPr>
        <w:t xml:space="preserve">regular increments </w:t>
      </w:r>
      <w:r w:rsidR="005B0CD9">
        <w:rPr>
          <w:bCs/>
          <w:sz w:val="24"/>
          <w:szCs w:val="24"/>
        </w:rPr>
        <w:t>of</w:t>
      </w:r>
      <w:r w:rsidR="00E82B20">
        <w:rPr>
          <w:bCs/>
          <w:sz w:val="24"/>
          <w:szCs w:val="24"/>
        </w:rPr>
        <w:t xml:space="preserve"> the long-term outcome of 300 new sites and </w:t>
      </w:r>
      <w:r w:rsidR="00615573">
        <w:rPr>
          <w:bCs/>
          <w:sz w:val="24"/>
          <w:szCs w:val="24"/>
        </w:rPr>
        <w:t>is</w:t>
      </w:r>
      <w:r w:rsidR="00E82B20">
        <w:rPr>
          <w:bCs/>
          <w:sz w:val="24"/>
          <w:szCs w:val="24"/>
        </w:rPr>
        <w:t xml:space="preserve"> not meant to be a target </w:t>
      </w:r>
      <w:r w:rsidR="00615573">
        <w:rPr>
          <w:bCs/>
          <w:sz w:val="24"/>
          <w:szCs w:val="24"/>
        </w:rPr>
        <w:t>itself</w:t>
      </w:r>
      <w:r w:rsidR="00E82B20">
        <w:rPr>
          <w:bCs/>
          <w:sz w:val="24"/>
          <w:szCs w:val="24"/>
        </w:rPr>
        <w:t>.</w:t>
      </w:r>
    </w:p>
    <w:p w14:paraId="5E599DDC" w14:textId="77777777" w:rsidR="00B674B2" w:rsidRPr="002B2FA1" w:rsidRDefault="00B674B2" w:rsidP="00C82138">
      <w:pPr>
        <w:spacing w:after="120"/>
        <w:rPr>
          <w:b/>
          <w:sz w:val="24"/>
          <w:szCs w:val="24"/>
        </w:rPr>
      </w:pPr>
    </w:p>
    <w:tbl>
      <w:tblPr>
        <w:tblStyle w:val="GridTable4-Accent5"/>
        <w:tblW w:w="14289" w:type="dxa"/>
        <w:tblLook w:val="06A0" w:firstRow="1" w:lastRow="0" w:firstColumn="1" w:lastColumn="0" w:noHBand="1" w:noVBand="1"/>
      </w:tblPr>
      <w:tblGrid>
        <w:gridCol w:w="2041"/>
        <w:gridCol w:w="2041"/>
        <w:gridCol w:w="2041"/>
        <w:gridCol w:w="2042"/>
        <w:gridCol w:w="2041"/>
        <w:gridCol w:w="2041"/>
        <w:gridCol w:w="2042"/>
      </w:tblGrid>
      <w:tr w:rsidR="00947AB3" w:rsidRPr="00DB3E82" w14:paraId="240AC9DC" w14:textId="77777777" w:rsidTr="005E19D9">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041" w:type="dxa"/>
            <w:vAlign w:val="center"/>
          </w:tcPr>
          <w:p w14:paraId="20D632A3" w14:textId="77777777" w:rsidR="00947AB3" w:rsidRPr="00DB3E82" w:rsidRDefault="00947AB3" w:rsidP="00337076">
            <w:pPr>
              <w:jc w:val="center"/>
              <w:rPr>
                <w:b w:val="0"/>
                <w:sz w:val="28"/>
                <w:szCs w:val="28"/>
              </w:rPr>
            </w:pPr>
            <w:r w:rsidRPr="00DB3E82">
              <w:rPr>
                <w:b w:val="0"/>
                <w:sz w:val="28"/>
                <w:szCs w:val="28"/>
              </w:rPr>
              <w:t>Factor</w:t>
            </w:r>
          </w:p>
        </w:tc>
        <w:tc>
          <w:tcPr>
            <w:tcW w:w="2041" w:type="dxa"/>
            <w:vAlign w:val="center"/>
          </w:tcPr>
          <w:p w14:paraId="54616032" w14:textId="77777777" w:rsidR="00947AB3" w:rsidRPr="0021394C"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041" w:type="dxa"/>
            <w:vAlign w:val="center"/>
          </w:tcPr>
          <w:p w14:paraId="36B434DB"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042" w:type="dxa"/>
            <w:vAlign w:val="center"/>
          </w:tcPr>
          <w:p w14:paraId="3A5C9578"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2041" w:type="dxa"/>
            <w:vAlign w:val="center"/>
          </w:tcPr>
          <w:p w14:paraId="0CDEE341"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041"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42" w:type="dxa"/>
            <w:vAlign w:val="center"/>
          </w:tcPr>
          <w:p w14:paraId="4C3B8FDC"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947AB3" w:rsidRPr="00DB3E82" w14:paraId="24378038" w14:textId="77777777" w:rsidTr="005E19D9">
        <w:trPr>
          <w:trHeight w:val="20"/>
        </w:trPr>
        <w:tc>
          <w:tcPr>
            <w:cnfStyle w:val="001000000000" w:firstRow="0" w:lastRow="0" w:firstColumn="1" w:lastColumn="0" w:oddVBand="0" w:evenVBand="0" w:oddHBand="0" w:evenHBand="0" w:firstRowFirstColumn="0" w:firstRowLastColumn="0" w:lastRowFirstColumn="0" w:lastRowLastColumn="0"/>
            <w:tcW w:w="2041" w:type="dxa"/>
            <w:shd w:val="clear" w:color="auto" w:fill="BFBFBF" w:themeFill="background1" w:themeFillShade="BF"/>
          </w:tcPr>
          <w:p w14:paraId="4CEEB5B8" w14:textId="77777777" w:rsidR="00947AB3" w:rsidRPr="00934D05" w:rsidRDefault="00947AB3" w:rsidP="00337076">
            <w:pPr>
              <w:rPr>
                <w:b w:val="0"/>
                <w:i/>
                <w:color w:val="000000" w:themeColor="text1"/>
                <w:sz w:val="20"/>
                <w:szCs w:val="20"/>
              </w:rPr>
            </w:pPr>
            <w:r w:rsidRPr="00934D05">
              <w:rPr>
                <w:b w:val="0"/>
                <w:i/>
                <w:color w:val="000000" w:themeColor="text1"/>
                <w:sz w:val="20"/>
                <w:szCs w:val="20"/>
              </w:rPr>
              <w:t>What is impacting our ability to achieve our outcome?</w:t>
            </w:r>
          </w:p>
        </w:tc>
        <w:tc>
          <w:tcPr>
            <w:tcW w:w="2041" w:type="dxa"/>
            <w:shd w:val="clear" w:color="auto" w:fill="BFBFBF" w:themeFill="background1" w:themeFillShade="BF"/>
          </w:tcPr>
          <w:p w14:paraId="7CBE218A"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041" w:type="dxa"/>
            <w:shd w:val="clear" w:color="auto" w:fill="BFBFBF" w:themeFill="background1" w:themeFillShade="BF"/>
          </w:tcPr>
          <w:p w14:paraId="2519B933"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042" w:type="dxa"/>
            <w:shd w:val="clear" w:color="auto" w:fill="BFBFBF" w:themeFill="background1" w:themeFillShade="BF"/>
          </w:tcPr>
          <w:p w14:paraId="66E29BF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2041" w:type="dxa"/>
            <w:shd w:val="clear" w:color="auto" w:fill="BFBFBF" w:themeFill="background1" w:themeFillShade="BF"/>
          </w:tcPr>
          <w:p w14:paraId="1E87172C"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041" w:type="dxa"/>
            <w:shd w:val="clear" w:color="auto" w:fill="BFBFBF" w:themeFill="background1" w:themeFillShade="BF"/>
          </w:tcPr>
          <w:p w14:paraId="3F90B9CB"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2042" w:type="dxa"/>
            <w:shd w:val="clear" w:color="auto" w:fill="BFBFBF" w:themeFill="background1" w:themeFillShade="BF"/>
          </w:tcPr>
          <w:p w14:paraId="2C4D1551"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947AB3" w:rsidRPr="00DB3E82" w14:paraId="5E4E11F4" w14:textId="77777777" w:rsidTr="005E19D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003EBC3D" w14:textId="3D991923" w:rsidR="00947AB3" w:rsidRPr="0095371E" w:rsidRDefault="002D618D" w:rsidP="00337076">
            <w:pPr>
              <w:rPr>
                <w:rFonts w:asciiTheme="minorHAnsi" w:hAnsiTheme="minorHAnsi" w:cstheme="minorHAnsi"/>
                <w:b w:val="0"/>
                <w:bCs w:val="0"/>
              </w:rPr>
            </w:pPr>
            <w:r w:rsidRPr="0095371E">
              <w:rPr>
                <w:rFonts w:asciiTheme="minorHAnsi" w:hAnsiTheme="minorHAnsi" w:cstheme="minorHAnsi"/>
              </w:rPr>
              <w:t>Public sector funding</w:t>
            </w:r>
            <w:r w:rsidR="0090338D" w:rsidRPr="0095371E">
              <w:rPr>
                <w:rFonts w:asciiTheme="minorHAnsi" w:hAnsiTheme="minorHAnsi" w:cstheme="minorHAnsi"/>
              </w:rPr>
              <w:t>.</w:t>
            </w:r>
            <w:r w:rsidR="0090338D" w:rsidRPr="0095371E">
              <w:rPr>
                <w:rFonts w:asciiTheme="minorHAnsi" w:hAnsiTheme="minorHAnsi" w:cstheme="minorHAnsi"/>
                <w:b w:val="0"/>
                <w:bCs w:val="0"/>
              </w:rPr>
              <w:t xml:space="preserve"> Some public agencies have limited funding to maintain existing sites and are therefore hesitant to develop new sites. Implementation costs (materials, </w:t>
            </w:r>
            <w:r w:rsidR="0090338D" w:rsidRPr="0095371E">
              <w:rPr>
                <w:rFonts w:asciiTheme="minorHAnsi" w:hAnsiTheme="minorHAnsi" w:cstheme="minorHAnsi"/>
                <w:b w:val="0"/>
                <w:bCs w:val="0"/>
              </w:rPr>
              <w:lastRenderedPageBreak/>
              <w:t>labor) have generally increased.</w:t>
            </w:r>
          </w:p>
        </w:tc>
        <w:tc>
          <w:tcPr>
            <w:tcW w:w="2041" w:type="dxa"/>
          </w:tcPr>
          <w:p w14:paraId="01C8261D" w14:textId="0D4CF654" w:rsidR="00947AB3" w:rsidRPr="0095371E" w:rsidRDefault="000B4BDE"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95371E">
              <w:rPr>
                <w:rFonts w:asciiTheme="minorHAnsi" w:hAnsiTheme="minorHAnsi" w:cstheme="minorHAnsi"/>
                <w:iCs/>
              </w:rPr>
              <w:lastRenderedPageBreak/>
              <w:t xml:space="preserve">Public access managers </w:t>
            </w:r>
            <w:r w:rsidR="00DE03E0" w:rsidRPr="0095371E">
              <w:rPr>
                <w:rFonts w:asciiTheme="minorHAnsi" w:hAnsiTheme="minorHAnsi" w:cstheme="minorHAnsi"/>
                <w:iCs/>
              </w:rPr>
              <w:t>work within the</w:t>
            </w:r>
            <w:r w:rsidR="0079376F" w:rsidRPr="0095371E">
              <w:rPr>
                <w:rFonts w:asciiTheme="minorHAnsi" w:hAnsiTheme="minorHAnsi" w:cstheme="minorHAnsi"/>
                <w:iCs/>
              </w:rPr>
              <w:t xml:space="preserve"> existing financial constraints </w:t>
            </w:r>
            <w:r w:rsidR="00C34A90" w:rsidRPr="0095371E">
              <w:rPr>
                <w:rFonts w:asciiTheme="minorHAnsi" w:hAnsiTheme="minorHAnsi" w:cstheme="minorHAnsi"/>
                <w:iCs/>
              </w:rPr>
              <w:t xml:space="preserve">and staffing </w:t>
            </w:r>
            <w:r w:rsidR="0079376F" w:rsidRPr="0095371E">
              <w:rPr>
                <w:rFonts w:asciiTheme="minorHAnsi" w:hAnsiTheme="minorHAnsi" w:cstheme="minorHAnsi"/>
                <w:iCs/>
              </w:rPr>
              <w:t>to establish new public access sites.</w:t>
            </w:r>
          </w:p>
        </w:tc>
        <w:tc>
          <w:tcPr>
            <w:tcW w:w="2041" w:type="dxa"/>
          </w:tcPr>
          <w:p w14:paraId="766AD19E" w14:textId="0613ED34" w:rsidR="00947AB3" w:rsidRPr="0095371E" w:rsidRDefault="00AA58C8"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95371E">
              <w:rPr>
                <w:rFonts w:asciiTheme="minorHAnsi" w:hAnsiTheme="minorHAnsi" w:cstheme="minorHAnsi"/>
                <w:iCs/>
              </w:rPr>
              <w:t>More funding should include maintenance as an allowable use.</w:t>
            </w:r>
          </w:p>
        </w:tc>
        <w:tc>
          <w:tcPr>
            <w:tcW w:w="2042" w:type="dxa"/>
          </w:tcPr>
          <w:p w14:paraId="7AF8939E" w14:textId="01D424EF" w:rsidR="00947AB3" w:rsidRPr="0095371E" w:rsidRDefault="00813D02"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95371E">
              <w:rPr>
                <w:rFonts w:asciiTheme="minorHAnsi" w:hAnsiTheme="minorHAnsi" w:cstheme="minorHAnsi"/>
                <w:bCs/>
              </w:rPr>
              <w:t>2.</w:t>
            </w:r>
            <w:r w:rsidR="00517C4E" w:rsidRPr="0095371E">
              <w:rPr>
                <w:rFonts w:asciiTheme="minorHAnsi" w:hAnsiTheme="minorHAnsi" w:cstheme="minorHAnsi"/>
                <w:bCs/>
              </w:rPr>
              <w:t>1, 2.2</w:t>
            </w:r>
          </w:p>
        </w:tc>
        <w:tc>
          <w:tcPr>
            <w:tcW w:w="2041" w:type="dxa"/>
          </w:tcPr>
          <w:p w14:paraId="435E0DAC" w14:textId="768A330C" w:rsidR="00947AB3" w:rsidRPr="0095371E" w:rsidRDefault="009C647B"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 xml:space="preserve">Observable progress in filling this gap would </w:t>
            </w:r>
            <w:r w:rsidR="00AF5302" w:rsidRPr="0095371E">
              <w:rPr>
                <w:rFonts w:asciiTheme="minorHAnsi" w:hAnsiTheme="minorHAnsi" w:cstheme="minorHAnsi"/>
              </w:rPr>
              <w:t>include i</w:t>
            </w:r>
            <w:r w:rsidR="009913D5" w:rsidRPr="0095371E">
              <w:rPr>
                <w:rFonts w:asciiTheme="minorHAnsi" w:hAnsiTheme="minorHAnsi" w:cstheme="minorHAnsi"/>
              </w:rPr>
              <w:t>ncreases in governmental budgets that sustain or enhance access programs. An</w:t>
            </w:r>
            <w:r w:rsidR="00F27D2D" w:rsidRPr="0095371E">
              <w:rPr>
                <w:rFonts w:asciiTheme="minorHAnsi" w:hAnsiTheme="minorHAnsi" w:cstheme="minorHAnsi"/>
              </w:rPr>
              <w:t>d an</w:t>
            </w:r>
            <w:r w:rsidR="009913D5" w:rsidRPr="0095371E">
              <w:rPr>
                <w:rFonts w:asciiTheme="minorHAnsi" w:hAnsiTheme="minorHAnsi" w:cstheme="minorHAnsi"/>
              </w:rPr>
              <w:t xml:space="preserve"> increase in</w:t>
            </w:r>
            <w:r w:rsidR="00DD7191" w:rsidRPr="0095371E">
              <w:rPr>
                <w:rFonts w:asciiTheme="minorHAnsi" w:hAnsiTheme="minorHAnsi" w:cstheme="minorHAnsi"/>
              </w:rPr>
              <w:t xml:space="preserve"> grant funding available to support public </w:t>
            </w:r>
            <w:r w:rsidR="00DD7191" w:rsidRPr="0095371E">
              <w:rPr>
                <w:rFonts w:asciiTheme="minorHAnsi" w:hAnsiTheme="minorHAnsi" w:cstheme="minorHAnsi"/>
              </w:rPr>
              <w:lastRenderedPageBreak/>
              <w:t>access development and maintenance.</w:t>
            </w:r>
          </w:p>
          <w:p w14:paraId="2D4410B5" w14:textId="6B6601C0" w:rsidR="007942F0" w:rsidRPr="0095371E" w:rsidRDefault="007942F0"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41" w:type="dxa"/>
          </w:tcPr>
          <w:p w14:paraId="2741B06B" w14:textId="4B324D02" w:rsidR="00947AB3" w:rsidRPr="0095371E" w:rsidRDefault="00DD7191"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lastRenderedPageBreak/>
              <w:t xml:space="preserve">If this factor is addressed there would be an increase in appropriate funding levels. </w:t>
            </w:r>
            <w:r w:rsidR="003406BB" w:rsidRPr="0095371E">
              <w:rPr>
                <w:rFonts w:asciiTheme="minorHAnsi" w:hAnsiTheme="minorHAnsi" w:cstheme="minorHAnsi"/>
              </w:rPr>
              <w:t>The</w:t>
            </w:r>
            <w:r w:rsidR="00426A42" w:rsidRPr="0095371E">
              <w:rPr>
                <w:rFonts w:asciiTheme="minorHAnsi" w:hAnsiTheme="minorHAnsi" w:cstheme="minorHAnsi"/>
              </w:rPr>
              <w:t xml:space="preserve"> rate of</w:t>
            </w:r>
            <w:r w:rsidR="003406BB" w:rsidRPr="0095371E">
              <w:rPr>
                <w:rFonts w:asciiTheme="minorHAnsi" w:hAnsiTheme="minorHAnsi" w:cstheme="minorHAnsi"/>
              </w:rPr>
              <w:t xml:space="preserve"> implementation of new public access sites</w:t>
            </w:r>
            <w:r w:rsidR="00D30F6E" w:rsidRPr="0095371E">
              <w:rPr>
                <w:rFonts w:asciiTheme="minorHAnsi" w:hAnsiTheme="minorHAnsi" w:cstheme="minorHAnsi"/>
              </w:rPr>
              <w:t xml:space="preserve"> would </w:t>
            </w:r>
            <w:r w:rsidR="00426A42" w:rsidRPr="0095371E">
              <w:rPr>
                <w:rFonts w:asciiTheme="minorHAnsi" w:hAnsiTheme="minorHAnsi" w:cstheme="minorHAnsi"/>
              </w:rPr>
              <w:t>increase.</w:t>
            </w:r>
          </w:p>
        </w:tc>
        <w:tc>
          <w:tcPr>
            <w:tcW w:w="2042" w:type="dxa"/>
          </w:tcPr>
          <w:p w14:paraId="1E19C959" w14:textId="77777777" w:rsidR="00947AB3" w:rsidRPr="0095371E" w:rsidRDefault="00947AB3"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B43D9" w:rsidRPr="00DB3E82" w14:paraId="279428C4" w14:textId="77777777" w:rsidTr="005E19D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4CD26BF7" w14:textId="77777777" w:rsidR="006B43D9" w:rsidRPr="0095371E" w:rsidRDefault="006B43D9" w:rsidP="006B43D9">
            <w:pPr>
              <w:rPr>
                <w:rFonts w:asciiTheme="minorHAnsi" w:hAnsiTheme="minorHAnsi" w:cstheme="minorHAnsi"/>
              </w:rPr>
            </w:pPr>
            <w:r w:rsidRPr="0095371E">
              <w:rPr>
                <w:rFonts w:asciiTheme="minorHAnsi" w:hAnsiTheme="minorHAnsi" w:cstheme="minorHAnsi"/>
              </w:rPr>
              <w:t>Permitting requirements.</w:t>
            </w:r>
            <w:r w:rsidRPr="0095371E">
              <w:rPr>
                <w:rFonts w:asciiTheme="minorHAnsi" w:hAnsiTheme="minorHAnsi" w:cstheme="minorHAnsi"/>
                <w:b w:val="0"/>
                <w:bCs w:val="0"/>
              </w:rPr>
              <w:t xml:space="preserve"> New public access sites must be developed in a way that is sensitive to the environment. </w:t>
            </w:r>
          </w:p>
          <w:p w14:paraId="2FEE9614" w14:textId="68C0F05F" w:rsidR="007942F0" w:rsidRPr="0095371E" w:rsidRDefault="007942F0" w:rsidP="006B43D9">
            <w:pPr>
              <w:rPr>
                <w:rFonts w:asciiTheme="minorHAnsi" w:hAnsiTheme="minorHAnsi" w:cstheme="minorHAnsi"/>
                <w:b w:val="0"/>
                <w:bCs w:val="0"/>
              </w:rPr>
            </w:pPr>
          </w:p>
        </w:tc>
        <w:tc>
          <w:tcPr>
            <w:tcW w:w="2041" w:type="dxa"/>
          </w:tcPr>
          <w:p w14:paraId="6F005AC6" w14:textId="6C927144" w:rsidR="006B43D9" w:rsidRPr="0095371E" w:rsidRDefault="00A16E99" w:rsidP="006B43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 xml:space="preserve">Public access managers work to design and implement public access sites which </w:t>
            </w:r>
            <w:r w:rsidR="001B5A93" w:rsidRPr="0095371E">
              <w:rPr>
                <w:rFonts w:asciiTheme="minorHAnsi" w:hAnsiTheme="minorHAnsi" w:cstheme="minorHAnsi"/>
              </w:rPr>
              <w:t>meet permitting requirements.</w:t>
            </w:r>
          </w:p>
        </w:tc>
        <w:tc>
          <w:tcPr>
            <w:tcW w:w="2041" w:type="dxa"/>
          </w:tcPr>
          <w:p w14:paraId="7BA75224" w14:textId="7F729FB6" w:rsidR="006B43D9" w:rsidRPr="0095371E" w:rsidRDefault="007942F0" w:rsidP="006B43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Permitting authorities should consider expedited review procedures.</w:t>
            </w:r>
          </w:p>
        </w:tc>
        <w:tc>
          <w:tcPr>
            <w:tcW w:w="2042" w:type="dxa"/>
          </w:tcPr>
          <w:p w14:paraId="5D0724CA" w14:textId="6B0C0F98" w:rsidR="006B43D9" w:rsidRPr="0095371E" w:rsidRDefault="00FF6673" w:rsidP="006B43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4.1</w:t>
            </w:r>
          </w:p>
        </w:tc>
        <w:tc>
          <w:tcPr>
            <w:tcW w:w="2041" w:type="dxa"/>
          </w:tcPr>
          <w:p w14:paraId="761B4101" w14:textId="3472BF80" w:rsidR="006B43D9" w:rsidRPr="0095371E" w:rsidRDefault="007942F0" w:rsidP="006B43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 xml:space="preserve">Observable progress in filling this gap would </w:t>
            </w:r>
            <w:r w:rsidR="009E294A" w:rsidRPr="0095371E">
              <w:rPr>
                <w:rFonts w:asciiTheme="minorHAnsi" w:hAnsiTheme="minorHAnsi" w:cstheme="minorHAnsi"/>
              </w:rPr>
              <w:t>include expedited permitting review</w:t>
            </w:r>
            <w:r w:rsidR="004A2285" w:rsidRPr="0095371E">
              <w:rPr>
                <w:rFonts w:asciiTheme="minorHAnsi" w:hAnsiTheme="minorHAnsi" w:cstheme="minorHAnsi"/>
              </w:rPr>
              <w:t xml:space="preserve"> requirements.</w:t>
            </w:r>
          </w:p>
        </w:tc>
        <w:tc>
          <w:tcPr>
            <w:tcW w:w="2041" w:type="dxa"/>
          </w:tcPr>
          <w:p w14:paraId="0E99CB96" w14:textId="6E6953EE" w:rsidR="006B43D9" w:rsidRPr="0095371E" w:rsidRDefault="004A2285" w:rsidP="006B43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If this factor is addressed there would be an increase in expedited permitting review requirements.</w:t>
            </w:r>
          </w:p>
        </w:tc>
        <w:tc>
          <w:tcPr>
            <w:tcW w:w="2042" w:type="dxa"/>
          </w:tcPr>
          <w:p w14:paraId="3D23F5A9" w14:textId="77777777" w:rsidR="006B43D9" w:rsidRPr="0095371E" w:rsidRDefault="006B43D9" w:rsidP="006B43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B5A93" w:rsidRPr="00DB3E82" w14:paraId="5B7A55C5" w14:textId="77777777" w:rsidTr="005E19D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521C31C7" w14:textId="77777777" w:rsidR="001B5A93" w:rsidRPr="0095371E" w:rsidRDefault="001B5A93" w:rsidP="001B5A93">
            <w:pPr>
              <w:rPr>
                <w:rFonts w:asciiTheme="minorHAnsi" w:hAnsiTheme="minorHAnsi" w:cstheme="minorHAnsi"/>
              </w:rPr>
            </w:pPr>
            <w:r w:rsidRPr="0095371E">
              <w:rPr>
                <w:rFonts w:asciiTheme="minorHAnsi" w:hAnsiTheme="minorHAnsi" w:cstheme="minorHAnsi"/>
              </w:rPr>
              <w:t>Universal accessibility.</w:t>
            </w:r>
            <w:r w:rsidRPr="0095371E">
              <w:rPr>
                <w:rFonts w:asciiTheme="minorHAnsi" w:hAnsiTheme="minorHAnsi" w:cstheme="minorHAnsi"/>
                <w:b w:val="0"/>
                <w:bCs w:val="0"/>
              </w:rPr>
              <w:t xml:space="preserve">  Access site managers need to comply with federal regulations around accessibility. Early planning is important to construct </w:t>
            </w:r>
            <w:r w:rsidRPr="0095371E">
              <w:rPr>
                <w:rFonts w:asciiTheme="minorHAnsi" w:hAnsiTheme="minorHAnsi" w:cstheme="minorHAnsi"/>
                <w:b w:val="0"/>
                <w:bCs w:val="0"/>
              </w:rPr>
              <w:t>facilities</w:t>
            </w:r>
            <w:r w:rsidRPr="0095371E">
              <w:rPr>
                <w:rFonts w:asciiTheme="minorHAnsi" w:hAnsiTheme="minorHAnsi" w:cstheme="minorHAnsi"/>
              </w:rPr>
              <w:t>,</w:t>
            </w:r>
            <w:r w:rsidRPr="0095371E">
              <w:rPr>
                <w:rFonts w:asciiTheme="minorHAnsi" w:hAnsiTheme="minorHAnsi" w:cstheme="minorHAnsi"/>
                <w:b w:val="0"/>
                <w:bCs w:val="0"/>
              </w:rPr>
              <w:t xml:space="preserve"> so they are accessible to persons with disabilities.</w:t>
            </w:r>
          </w:p>
          <w:p w14:paraId="06715993" w14:textId="5D279216" w:rsidR="00F51883" w:rsidRPr="0095371E" w:rsidRDefault="00F51883" w:rsidP="001B5A93">
            <w:pPr>
              <w:rPr>
                <w:rFonts w:asciiTheme="minorHAnsi" w:hAnsiTheme="minorHAnsi" w:cstheme="minorHAnsi"/>
              </w:rPr>
            </w:pPr>
          </w:p>
        </w:tc>
        <w:tc>
          <w:tcPr>
            <w:tcW w:w="2041" w:type="dxa"/>
          </w:tcPr>
          <w:p w14:paraId="458617F8" w14:textId="2DB8AF54" w:rsidR="001B5A93" w:rsidRPr="0095371E" w:rsidRDefault="001B5A93" w:rsidP="001B5A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Public access managers work to design and implement public access sites which meet permitting requirements.</w:t>
            </w:r>
          </w:p>
        </w:tc>
        <w:tc>
          <w:tcPr>
            <w:tcW w:w="2041" w:type="dxa"/>
          </w:tcPr>
          <w:p w14:paraId="44526E71" w14:textId="7842A8FB" w:rsidR="001B5A93" w:rsidRPr="0095371E" w:rsidRDefault="00303EF2" w:rsidP="001B5A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 xml:space="preserve">Continued early planning is required to construct facilities in a way that allow them to be accessible to </w:t>
            </w:r>
            <w:r w:rsidR="00F51883" w:rsidRPr="0095371E">
              <w:rPr>
                <w:rFonts w:asciiTheme="minorHAnsi" w:hAnsiTheme="minorHAnsi" w:cstheme="minorHAnsi"/>
              </w:rPr>
              <w:t>persons with disabilities.</w:t>
            </w:r>
            <w:r w:rsidR="003F0FC7" w:rsidRPr="0095371E">
              <w:rPr>
                <w:rFonts w:asciiTheme="minorHAnsi" w:hAnsiTheme="minorHAnsi" w:cstheme="minorHAnsi"/>
              </w:rPr>
              <w:t xml:space="preserve"> Additional resources and staff could</w:t>
            </w:r>
            <w:r w:rsidR="00544AE5" w:rsidRPr="0095371E">
              <w:rPr>
                <w:rFonts w:asciiTheme="minorHAnsi" w:hAnsiTheme="minorHAnsi" w:cstheme="minorHAnsi"/>
              </w:rPr>
              <w:t xml:space="preserve"> increase the capacity necessary to build new sites.</w:t>
            </w:r>
          </w:p>
        </w:tc>
        <w:tc>
          <w:tcPr>
            <w:tcW w:w="2042" w:type="dxa"/>
          </w:tcPr>
          <w:p w14:paraId="2963CDBA" w14:textId="523C8B89" w:rsidR="001B5A93" w:rsidRPr="0095371E" w:rsidRDefault="001B5A93" w:rsidP="001B5A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4.1</w:t>
            </w:r>
          </w:p>
        </w:tc>
        <w:tc>
          <w:tcPr>
            <w:tcW w:w="2041" w:type="dxa"/>
          </w:tcPr>
          <w:p w14:paraId="74D828E4" w14:textId="3E794E06" w:rsidR="001B5A93" w:rsidRPr="0095371E" w:rsidRDefault="003F0FC7" w:rsidP="001B5A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Observable progress</w:t>
            </w:r>
            <w:r w:rsidR="00441EA6" w:rsidRPr="0095371E">
              <w:rPr>
                <w:rFonts w:asciiTheme="minorHAnsi" w:hAnsiTheme="minorHAnsi" w:cstheme="minorHAnsi"/>
              </w:rPr>
              <w:t xml:space="preserve"> </w:t>
            </w:r>
            <w:r w:rsidR="00A96556" w:rsidRPr="0095371E">
              <w:rPr>
                <w:rFonts w:asciiTheme="minorHAnsi" w:hAnsiTheme="minorHAnsi" w:cstheme="minorHAnsi"/>
              </w:rPr>
              <w:t xml:space="preserve">toward filling this gap </w:t>
            </w:r>
            <w:r w:rsidR="00441EA6" w:rsidRPr="0095371E">
              <w:rPr>
                <w:rFonts w:asciiTheme="minorHAnsi" w:hAnsiTheme="minorHAnsi" w:cstheme="minorHAnsi"/>
              </w:rPr>
              <w:t>would include developing new public access sites</w:t>
            </w:r>
            <w:r w:rsidR="00F2272B" w:rsidRPr="0095371E">
              <w:rPr>
                <w:rFonts w:asciiTheme="minorHAnsi" w:hAnsiTheme="minorHAnsi" w:cstheme="minorHAnsi"/>
              </w:rPr>
              <w:t xml:space="preserve"> that are universally accessible.</w:t>
            </w:r>
            <w:r w:rsidRPr="0095371E">
              <w:rPr>
                <w:rFonts w:asciiTheme="minorHAnsi" w:hAnsiTheme="minorHAnsi" w:cstheme="minorHAnsi"/>
              </w:rPr>
              <w:t xml:space="preserve"> </w:t>
            </w:r>
          </w:p>
        </w:tc>
        <w:tc>
          <w:tcPr>
            <w:tcW w:w="2041" w:type="dxa"/>
          </w:tcPr>
          <w:p w14:paraId="23A5A83E" w14:textId="60F9F815" w:rsidR="001B5A93" w:rsidRPr="0095371E" w:rsidRDefault="00F2272B" w:rsidP="001B5A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 xml:space="preserve">If this factor is addressed </w:t>
            </w:r>
            <w:r w:rsidR="00B75F20" w:rsidRPr="0095371E">
              <w:rPr>
                <w:rFonts w:asciiTheme="minorHAnsi" w:hAnsiTheme="minorHAnsi" w:cstheme="minorHAnsi"/>
              </w:rPr>
              <w:t>there would be more resources and staff available to ensure all public access sites are universally accessible.</w:t>
            </w:r>
            <w:r w:rsidR="005D2879" w:rsidRPr="0095371E">
              <w:rPr>
                <w:rFonts w:asciiTheme="minorHAnsi" w:hAnsiTheme="minorHAnsi" w:cstheme="minorHAnsi"/>
              </w:rPr>
              <w:t xml:space="preserve"> </w:t>
            </w:r>
          </w:p>
        </w:tc>
        <w:tc>
          <w:tcPr>
            <w:tcW w:w="2042" w:type="dxa"/>
          </w:tcPr>
          <w:p w14:paraId="25341E47" w14:textId="77777777" w:rsidR="001B5A93" w:rsidRPr="0095371E" w:rsidRDefault="001B5A93" w:rsidP="001B5A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15E9B" w:rsidRPr="00DB3E82" w14:paraId="0CE8E647" w14:textId="77777777" w:rsidTr="005E19D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0977A1CE" w14:textId="77777777" w:rsidR="00F15E9B" w:rsidRPr="0095371E" w:rsidRDefault="00F15E9B" w:rsidP="00F15E9B">
            <w:pPr>
              <w:rPr>
                <w:rFonts w:asciiTheme="minorHAnsi" w:hAnsiTheme="minorHAnsi" w:cstheme="minorHAnsi"/>
              </w:rPr>
            </w:pPr>
            <w:r w:rsidRPr="0095371E">
              <w:rPr>
                <w:rFonts w:asciiTheme="minorHAnsi" w:hAnsiTheme="minorHAnsi" w:cstheme="minorHAnsi"/>
              </w:rPr>
              <w:t>Local government capacity.</w:t>
            </w:r>
            <w:r w:rsidRPr="0095371E">
              <w:rPr>
                <w:rFonts w:asciiTheme="minorHAnsi" w:hAnsiTheme="minorHAnsi" w:cstheme="minorHAnsi"/>
                <w:b w:val="0"/>
                <w:bCs w:val="0"/>
              </w:rPr>
              <w:t xml:space="preserve"> Capacity to fund new sites, maintain existing sites is limited. Grant funds cannot be used for maintenance. There are concerns around liability that make local governments hesitant to </w:t>
            </w:r>
            <w:r w:rsidRPr="0095371E">
              <w:rPr>
                <w:rFonts w:asciiTheme="minorHAnsi" w:hAnsiTheme="minorHAnsi" w:cstheme="minorHAnsi"/>
                <w:b w:val="0"/>
                <w:bCs w:val="0"/>
              </w:rPr>
              <w:lastRenderedPageBreak/>
              <w:t xml:space="preserve">implement new sites. </w:t>
            </w:r>
          </w:p>
          <w:p w14:paraId="64D6C3E5" w14:textId="6E608FC0" w:rsidR="00B75F20" w:rsidRPr="0095371E" w:rsidRDefault="00B75F20" w:rsidP="00F15E9B">
            <w:pPr>
              <w:rPr>
                <w:rFonts w:asciiTheme="minorHAnsi" w:hAnsiTheme="minorHAnsi" w:cstheme="minorHAnsi"/>
                <w:b w:val="0"/>
                <w:bCs w:val="0"/>
              </w:rPr>
            </w:pPr>
          </w:p>
        </w:tc>
        <w:tc>
          <w:tcPr>
            <w:tcW w:w="2041" w:type="dxa"/>
          </w:tcPr>
          <w:p w14:paraId="1E262699" w14:textId="258B4506" w:rsidR="00F15E9B" w:rsidRPr="0095371E" w:rsidRDefault="00F15E9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iCs/>
              </w:rPr>
              <w:lastRenderedPageBreak/>
              <w:t>Public access managers work within the existing financial constraints and staffing to establish new public access sites.</w:t>
            </w:r>
          </w:p>
        </w:tc>
        <w:tc>
          <w:tcPr>
            <w:tcW w:w="2041" w:type="dxa"/>
          </w:tcPr>
          <w:p w14:paraId="38A37F78" w14:textId="5B98F8E8" w:rsidR="00F15E9B" w:rsidRPr="0095371E" w:rsidRDefault="00AE282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Grant funds</w:t>
            </w:r>
            <w:r w:rsidR="008055F4" w:rsidRPr="0095371E">
              <w:rPr>
                <w:rFonts w:asciiTheme="minorHAnsi" w:hAnsiTheme="minorHAnsi" w:cstheme="minorHAnsi"/>
              </w:rPr>
              <w:t xml:space="preserve"> should include maintenance as an allowable use to provide local governments with the funds necessary to</w:t>
            </w:r>
            <w:r w:rsidR="00800481" w:rsidRPr="0095371E">
              <w:rPr>
                <w:rFonts w:asciiTheme="minorHAnsi" w:hAnsiTheme="minorHAnsi" w:cstheme="minorHAnsi"/>
              </w:rPr>
              <w:t xml:space="preserve"> maintain existing sites.</w:t>
            </w:r>
          </w:p>
        </w:tc>
        <w:tc>
          <w:tcPr>
            <w:tcW w:w="2042" w:type="dxa"/>
          </w:tcPr>
          <w:p w14:paraId="735DE7CC" w14:textId="398D2C64" w:rsidR="00F15E9B" w:rsidRPr="0095371E" w:rsidRDefault="00F15E9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2.1, 2.2</w:t>
            </w:r>
          </w:p>
        </w:tc>
        <w:tc>
          <w:tcPr>
            <w:tcW w:w="2041" w:type="dxa"/>
          </w:tcPr>
          <w:p w14:paraId="749268B4" w14:textId="1D7A0699" w:rsidR="00F15E9B" w:rsidRPr="0095371E" w:rsidRDefault="00800481"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 xml:space="preserve">Observable progress </w:t>
            </w:r>
            <w:r w:rsidR="00A96556" w:rsidRPr="0095371E">
              <w:rPr>
                <w:rFonts w:asciiTheme="minorHAnsi" w:hAnsiTheme="minorHAnsi" w:cstheme="minorHAnsi"/>
              </w:rPr>
              <w:t xml:space="preserve">toward filling this gap </w:t>
            </w:r>
            <w:r w:rsidRPr="0095371E">
              <w:rPr>
                <w:rFonts w:asciiTheme="minorHAnsi" w:hAnsiTheme="minorHAnsi" w:cstheme="minorHAnsi"/>
              </w:rPr>
              <w:t>would include increases in governmental budgets that sustain or enhance access programs</w:t>
            </w:r>
            <w:r w:rsidR="00F27D2D" w:rsidRPr="0095371E">
              <w:rPr>
                <w:rFonts w:asciiTheme="minorHAnsi" w:hAnsiTheme="minorHAnsi" w:cstheme="minorHAnsi"/>
              </w:rPr>
              <w:t xml:space="preserve">. And an increase in grant funding available to support public access site </w:t>
            </w:r>
            <w:r w:rsidR="00F27D2D" w:rsidRPr="0095371E">
              <w:rPr>
                <w:rFonts w:asciiTheme="minorHAnsi" w:hAnsiTheme="minorHAnsi" w:cstheme="minorHAnsi"/>
              </w:rPr>
              <w:lastRenderedPageBreak/>
              <w:t>development and maintenance.</w:t>
            </w:r>
          </w:p>
        </w:tc>
        <w:tc>
          <w:tcPr>
            <w:tcW w:w="2041" w:type="dxa"/>
          </w:tcPr>
          <w:p w14:paraId="2FC7BB4D" w14:textId="315165D4" w:rsidR="00F15E9B" w:rsidRPr="0095371E" w:rsidRDefault="00F27D2D"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lastRenderedPageBreak/>
              <w:t>If this factor is addressed there would be an increase in appropriate funding levels. The rate of implementation of new public access sites would increase.</w:t>
            </w:r>
          </w:p>
        </w:tc>
        <w:tc>
          <w:tcPr>
            <w:tcW w:w="2042" w:type="dxa"/>
          </w:tcPr>
          <w:p w14:paraId="1C6940D5" w14:textId="77777777" w:rsidR="00F15E9B" w:rsidRPr="0095371E" w:rsidRDefault="00F15E9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15E9B" w:rsidRPr="00DB3E82" w14:paraId="45102AC8" w14:textId="77777777" w:rsidTr="005E19D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09E1B439" w14:textId="77777777" w:rsidR="00F15E9B" w:rsidRPr="0095371E" w:rsidRDefault="00F15E9B" w:rsidP="00F15E9B">
            <w:pPr>
              <w:rPr>
                <w:rFonts w:asciiTheme="minorHAnsi" w:hAnsiTheme="minorHAnsi" w:cstheme="minorHAnsi"/>
              </w:rPr>
            </w:pPr>
            <w:r w:rsidRPr="0095371E">
              <w:rPr>
                <w:rFonts w:asciiTheme="minorHAnsi" w:hAnsiTheme="minorHAnsi" w:cstheme="minorHAnsi"/>
              </w:rPr>
              <w:t>Over usag</w:t>
            </w:r>
            <w:r w:rsidRPr="0095371E">
              <w:rPr>
                <w:rFonts w:asciiTheme="minorHAnsi" w:hAnsiTheme="minorHAnsi" w:cstheme="minorHAnsi"/>
                <w:b w:val="0"/>
                <w:bCs w:val="0"/>
              </w:rPr>
              <w:t>e</w:t>
            </w:r>
            <w:r w:rsidRPr="0095371E">
              <w:rPr>
                <w:rFonts w:asciiTheme="minorHAnsi" w:hAnsiTheme="minorHAnsi" w:cstheme="minorHAnsi"/>
              </w:rPr>
              <w:t>.</w:t>
            </w:r>
            <w:r w:rsidRPr="0095371E">
              <w:rPr>
                <w:rFonts w:asciiTheme="minorHAnsi" w:hAnsiTheme="minorHAnsi" w:cstheme="minorHAnsi"/>
                <w:b w:val="0"/>
                <w:bCs w:val="0"/>
              </w:rPr>
              <w:t xml:space="preserve"> The surge in public access usage associated with the COVID-19 pandemic </w:t>
            </w:r>
            <w:r w:rsidRPr="0095371E">
              <w:rPr>
                <w:rFonts w:asciiTheme="minorHAnsi" w:hAnsiTheme="minorHAnsi" w:cstheme="minorHAnsi"/>
                <w:b w:val="0"/>
                <w:bCs w:val="0"/>
              </w:rPr>
              <w:t>revealed that current levels of public access are insufficient</w:t>
            </w:r>
            <w:r w:rsidRPr="0095371E">
              <w:rPr>
                <w:rFonts w:asciiTheme="minorHAnsi" w:hAnsiTheme="minorHAnsi" w:cstheme="minorHAnsi"/>
                <w:b w:val="0"/>
                <w:bCs w:val="0"/>
              </w:rPr>
              <w:t>.</w:t>
            </w:r>
            <w:r w:rsidRPr="0095371E">
              <w:rPr>
                <w:rFonts w:asciiTheme="minorHAnsi" w:hAnsiTheme="minorHAnsi" w:cstheme="minorHAnsi"/>
                <w:b w:val="0"/>
                <w:bCs w:val="0"/>
              </w:rPr>
              <w:t xml:space="preserve"> Conflicts among users can arise when a site is designated, or perceived to be designated, for one use but is used in other ways. As news of real or perceived conflicts spread, the development of access sites can become more difficult.</w:t>
            </w:r>
          </w:p>
          <w:p w14:paraId="6AD07BBF" w14:textId="70AF2314" w:rsidR="00B75F20" w:rsidRPr="0095371E" w:rsidRDefault="00B75F20" w:rsidP="00F15E9B">
            <w:pPr>
              <w:rPr>
                <w:rFonts w:asciiTheme="minorHAnsi" w:hAnsiTheme="minorHAnsi" w:cstheme="minorHAnsi"/>
              </w:rPr>
            </w:pPr>
          </w:p>
        </w:tc>
        <w:tc>
          <w:tcPr>
            <w:tcW w:w="2041" w:type="dxa"/>
          </w:tcPr>
          <w:p w14:paraId="5B28515C" w14:textId="11FD3C58" w:rsidR="00F15E9B" w:rsidRPr="0095371E" w:rsidRDefault="00F15E9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When possible, public access managers work to build more sites to spread out crowds and renovate sites that have been degraded from overuse.</w:t>
            </w:r>
          </w:p>
        </w:tc>
        <w:tc>
          <w:tcPr>
            <w:tcW w:w="2041" w:type="dxa"/>
          </w:tcPr>
          <w:p w14:paraId="34C623BE" w14:textId="3318FFDF" w:rsidR="00F15E9B" w:rsidRPr="0095371E" w:rsidRDefault="00056F3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Additional funding to make the implementation of more public access sites possible.</w:t>
            </w:r>
          </w:p>
        </w:tc>
        <w:tc>
          <w:tcPr>
            <w:tcW w:w="2042" w:type="dxa"/>
          </w:tcPr>
          <w:p w14:paraId="30560A63" w14:textId="1542FFC2" w:rsidR="00F15E9B" w:rsidRPr="0095371E" w:rsidRDefault="00F15E9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3.1, 3.2</w:t>
            </w:r>
          </w:p>
        </w:tc>
        <w:tc>
          <w:tcPr>
            <w:tcW w:w="2041" w:type="dxa"/>
          </w:tcPr>
          <w:p w14:paraId="6FD9540D" w14:textId="02F5B686" w:rsidR="00F15E9B" w:rsidRPr="0095371E" w:rsidRDefault="00056F3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Observable progress toward this gap would</w:t>
            </w:r>
            <w:r w:rsidR="004460D2" w:rsidRPr="0095371E">
              <w:rPr>
                <w:rFonts w:asciiTheme="minorHAnsi" w:hAnsiTheme="minorHAnsi" w:cstheme="minorHAnsi"/>
              </w:rPr>
              <w:t xml:space="preserve"> include more public access sites</w:t>
            </w:r>
            <w:r w:rsidR="00376246" w:rsidRPr="0095371E">
              <w:rPr>
                <w:rFonts w:asciiTheme="minorHAnsi" w:hAnsiTheme="minorHAnsi" w:cstheme="minorHAnsi"/>
              </w:rPr>
              <w:t xml:space="preserve"> to spread out users and offer choice for use.</w:t>
            </w:r>
          </w:p>
        </w:tc>
        <w:tc>
          <w:tcPr>
            <w:tcW w:w="2041" w:type="dxa"/>
          </w:tcPr>
          <w:p w14:paraId="7F7A59A0" w14:textId="54D0134A" w:rsidR="00F15E9B" w:rsidRPr="0095371E" w:rsidRDefault="00376246"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If this factor is addressed there would be an increase in the number of public access sites and more manageable crowds at existing sites.</w:t>
            </w:r>
          </w:p>
        </w:tc>
        <w:tc>
          <w:tcPr>
            <w:tcW w:w="2042" w:type="dxa"/>
          </w:tcPr>
          <w:p w14:paraId="13CD4657" w14:textId="77777777" w:rsidR="00F15E9B" w:rsidRPr="0095371E" w:rsidRDefault="00F15E9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15E9B" w:rsidRPr="00DB3E82" w14:paraId="13C2108F" w14:textId="77777777" w:rsidTr="005E19D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4B0DE03E" w14:textId="77777777" w:rsidR="00F15E9B" w:rsidRPr="0095371E" w:rsidRDefault="00F15E9B" w:rsidP="00F15E9B">
            <w:pPr>
              <w:rPr>
                <w:rFonts w:asciiTheme="minorHAnsi" w:hAnsiTheme="minorHAnsi" w:cstheme="minorHAnsi"/>
              </w:rPr>
            </w:pPr>
            <w:r w:rsidRPr="0095371E">
              <w:rPr>
                <w:rFonts w:asciiTheme="minorHAnsi" w:hAnsiTheme="minorHAnsi" w:cstheme="minorHAnsi"/>
              </w:rPr>
              <w:t xml:space="preserve">Climate change. </w:t>
            </w:r>
            <w:r w:rsidRPr="0095371E">
              <w:rPr>
                <w:rFonts w:asciiTheme="minorHAnsi" w:hAnsiTheme="minorHAnsi" w:cstheme="minorHAnsi"/>
                <w:b w:val="0"/>
                <w:bCs w:val="0"/>
              </w:rPr>
              <w:t xml:space="preserve">Public access managers are already adjusting planning and implementation to address the consequences of climate change. This will continue to influence the </w:t>
            </w:r>
            <w:r w:rsidRPr="0095371E">
              <w:rPr>
                <w:rFonts w:asciiTheme="minorHAnsi" w:hAnsiTheme="minorHAnsi" w:cstheme="minorHAnsi"/>
                <w:b w:val="0"/>
                <w:bCs w:val="0"/>
              </w:rPr>
              <w:lastRenderedPageBreak/>
              <w:t>development of new public access sites.</w:t>
            </w:r>
          </w:p>
          <w:p w14:paraId="5ECBB72F" w14:textId="32CBAF39" w:rsidR="00B75F20" w:rsidRPr="0095371E" w:rsidRDefault="00B75F20" w:rsidP="00F15E9B">
            <w:pPr>
              <w:rPr>
                <w:rFonts w:asciiTheme="minorHAnsi" w:hAnsiTheme="minorHAnsi" w:cstheme="minorHAnsi"/>
                <w:b w:val="0"/>
                <w:bCs w:val="0"/>
              </w:rPr>
            </w:pPr>
          </w:p>
        </w:tc>
        <w:tc>
          <w:tcPr>
            <w:tcW w:w="2041" w:type="dxa"/>
          </w:tcPr>
          <w:p w14:paraId="483F7A70" w14:textId="5072B40D" w:rsidR="00F15E9B" w:rsidRPr="0095371E" w:rsidRDefault="00F15E9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lastRenderedPageBreak/>
              <w:t>Public access site managers are already changing the design and implementation of public access sites to address the consequences of climate change (ex. materials and placement).</w:t>
            </w:r>
          </w:p>
        </w:tc>
        <w:tc>
          <w:tcPr>
            <w:tcW w:w="2041" w:type="dxa"/>
          </w:tcPr>
          <w:p w14:paraId="4648F7E6" w14:textId="74660568" w:rsidR="00F15E9B" w:rsidRPr="0095371E" w:rsidRDefault="00024F26"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Continuation of design and implementation that is sensitive to the</w:t>
            </w:r>
            <w:r w:rsidR="00B036A7" w:rsidRPr="0095371E">
              <w:rPr>
                <w:rFonts w:asciiTheme="minorHAnsi" w:hAnsiTheme="minorHAnsi" w:cstheme="minorHAnsi"/>
              </w:rPr>
              <w:t xml:space="preserve"> realities of climate change.</w:t>
            </w:r>
          </w:p>
        </w:tc>
        <w:tc>
          <w:tcPr>
            <w:tcW w:w="2042" w:type="dxa"/>
          </w:tcPr>
          <w:p w14:paraId="785B0AE4" w14:textId="4E3628AE" w:rsidR="00F15E9B" w:rsidRPr="0095371E" w:rsidRDefault="00F15E9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4.4</w:t>
            </w:r>
          </w:p>
        </w:tc>
        <w:tc>
          <w:tcPr>
            <w:tcW w:w="2041" w:type="dxa"/>
          </w:tcPr>
          <w:p w14:paraId="57BDD2F3" w14:textId="1595BCB9" w:rsidR="00F15E9B" w:rsidRPr="0095371E" w:rsidRDefault="00B036A7"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Observable progress toward this gap would be an increased number of public access sites that are purposefully designed to be climate resilient.</w:t>
            </w:r>
          </w:p>
        </w:tc>
        <w:tc>
          <w:tcPr>
            <w:tcW w:w="2041" w:type="dxa"/>
          </w:tcPr>
          <w:p w14:paraId="28529383" w14:textId="22C1470C" w:rsidR="00F15E9B" w:rsidRPr="0095371E" w:rsidRDefault="0034463A"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371E">
              <w:rPr>
                <w:rFonts w:asciiTheme="minorHAnsi" w:hAnsiTheme="minorHAnsi" w:cstheme="minorHAnsi"/>
              </w:rPr>
              <w:t xml:space="preserve">Some consequences of climate change will be inevitable in the short term. The best we can address this factor is to </w:t>
            </w:r>
            <w:r w:rsidR="0095371E" w:rsidRPr="0095371E">
              <w:rPr>
                <w:rFonts w:asciiTheme="minorHAnsi" w:hAnsiTheme="minorHAnsi" w:cstheme="minorHAnsi"/>
              </w:rPr>
              <w:t>use best practices when implementing new sites.</w:t>
            </w:r>
          </w:p>
        </w:tc>
        <w:tc>
          <w:tcPr>
            <w:tcW w:w="2042" w:type="dxa"/>
          </w:tcPr>
          <w:p w14:paraId="02F1DD43" w14:textId="77777777" w:rsidR="00F15E9B" w:rsidRPr="0095371E" w:rsidRDefault="00F15E9B" w:rsidP="00F15E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02AADE4" w14:textId="77777777" w:rsidR="00947AB3" w:rsidRDefault="00947AB3" w:rsidP="00947AB3"/>
    <w:tbl>
      <w:tblPr>
        <w:tblStyle w:val="GridTable4-Accent5"/>
        <w:tblW w:w="14354" w:type="dxa"/>
        <w:tblLook w:val="04A0" w:firstRow="1" w:lastRow="0" w:firstColumn="1" w:lastColumn="0" w:noHBand="0" w:noVBand="1"/>
      </w:tblPr>
      <w:tblGrid>
        <w:gridCol w:w="1075"/>
        <w:gridCol w:w="3600"/>
        <w:gridCol w:w="4500"/>
        <w:gridCol w:w="1890"/>
        <w:gridCol w:w="1620"/>
        <w:gridCol w:w="1669"/>
      </w:tblGrid>
      <w:tr w:rsidR="00947AB3" w:rsidRPr="00FF2E44" w14:paraId="6C3BC414" w14:textId="77777777" w:rsidTr="003446CF">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4472C4" w:themeColor="accent5"/>
            </w:tcBorders>
          </w:tcPr>
          <w:p w14:paraId="1D106F3B" w14:textId="77777777" w:rsidR="00947AB3" w:rsidRPr="00FF2E44" w:rsidRDefault="00947AB3" w:rsidP="003446CF">
            <w:pPr>
              <w:rPr>
                <w:rFonts w:asciiTheme="minorHAnsi" w:hAnsiTheme="minorHAnsi" w:cstheme="minorHAnsi"/>
                <w:sz w:val="24"/>
                <w:szCs w:val="24"/>
              </w:rPr>
            </w:pPr>
          </w:p>
        </w:tc>
        <w:tc>
          <w:tcPr>
            <w:tcW w:w="13279" w:type="dxa"/>
            <w:gridSpan w:val="5"/>
            <w:tcBorders>
              <w:left w:val="single" w:sz="4" w:space="0" w:color="4472C4" w:themeColor="accent5"/>
            </w:tcBorders>
          </w:tcPr>
          <w:p w14:paraId="1A87F12B" w14:textId="474F3B19" w:rsidR="00947AB3" w:rsidRPr="00FF2E44" w:rsidRDefault="00947AB3" w:rsidP="00CD7FB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sz w:val="24"/>
                <w:szCs w:val="24"/>
              </w:rPr>
              <w:t xml:space="preserve">ACTIONS – </w:t>
            </w:r>
            <w:r w:rsidR="002D618D" w:rsidRPr="00FF2E44">
              <w:rPr>
                <w:rFonts w:asciiTheme="minorHAnsi" w:hAnsiTheme="minorHAnsi" w:cstheme="minorHAnsi"/>
                <w:sz w:val="24"/>
                <w:szCs w:val="24"/>
              </w:rPr>
              <w:t>2022 - 2023</w:t>
            </w:r>
          </w:p>
        </w:tc>
      </w:tr>
      <w:tr w:rsidR="00947AB3" w:rsidRPr="00FF2E44" w14:paraId="23CA23D1" w14:textId="77777777" w:rsidTr="003446C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right w:val="single" w:sz="4" w:space="0" w:color="8EAADB" w:themeColor="accent5" w:themeTint="99"/>
            </w:tcBorders>
            <w:shd w:val="clear" w:color="auto" w:fill="FFFFFF" w:themeFill="background1"/>
          </w:tcPr>
          <w:p w14:paraId="4BDE1BB7" w14:textId="77777777" w:rsidR="00947AB3" w:rsidRPr="00FF2E44" w:rsidRDefault="00947AB3" w:rsidP="003446CF">
            <w:pPr>
              <w:rPr>
                <w:rFonts w:asciiTheme="minorHAnsi" w:hAnsiTheme="minorHAnsi" w:cstheme="minorHAnsi"/>
                <w:color w:val="000000" w:themeColor="text1"/>
                <w:sz w:val="24"/>
                <w:szCs w:val="24"/>
              </w:rPr>
            </w:pPr>
            <w:bookmarkStart w:id="1" w:name="_Management_Approach_1:"/>
            <w:bookmarkEnd w:id="1"/>
            <w:r w:rsidRPr="00FF2E44">
              <w:rPr>
                <w:rFonts w:asciiTheme="minorHAnsi" w:hAnsiTheme="minorHAnsi" w:cstheme="minorHAnsi"/>
                <w:color w:val="000000" w:themeColor="text1"/>
                <w:sz w:val="24"/>
                <w:szCs w:val="24"/>
              </w:rPr>
              <w:t>Action #</w:t>
            </w:r>
          </w:p>
        </w:tc>
        <w:tc>
          <w:tcPr>
            <w:tcW w:w="36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22DA1D6A" w14:textId="77777777" w:rsidR="00947AB3" w:rsidRPr="00FF2E44" w:rsidRDefault="00947AB3" w:rsidP="003446C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4"/>
                <w:szCs w:val="24"/>
              </w:rPr>
            </w:pPr>
            <w:r w:rsidRPr="00FF2E44">
              <w:rPr>
                <w:rFonts w:asciiTheme="minorHAnsi" w:hAnsiTheme="minorHAnsi" w:cstheme="minorHAnsi"/>
                <w:color w:val="000000" w:themeColor="text1"/>
                <w:sz w:val="24"/>
                <w:szCs w:val="24"/>
              </w:rPr>
              <w:t>Description</w:t>
            </w:r>
          </w:p>
        </w:tc>
        <w:tc>
          <w:tcPr>
            <w:tcW w:w="45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24A72E7F" w14:textId="77777777" w:rsidR="00947AB3" w:rsidRPr="00FF2E44" w:rsidRDefault="00947AB3" w:rsidP="003446C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4"/>
                <w:szCs w:val="24"/>
              </w:rPr>
            </w:pPr>
            <w:r w:rsidRPr="00FF2E44">
              <w:rPr>
                <w:rFonts w:asciiTheme="minorHAnsi" w:hAnsiTheme="minorHAnsi" w:cstheme="minorHAnsi"/>
                <w:color w:val="000000" w:themeColor="text1"/>
                <w:sz w:val="24"/>
                <w:szCs w:val="24"/>
              </w:rPr>
              <w:t>Performance Target(s)</w:t>
            </w:r>
          </w:p>
        </w:tc>
        <w:tc>
          <w:tcPr>
            <w:tcW w:w="189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FF2E44" w:rsidRDefault="00947AB3" w:rsidP="003446C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4"/>
                <w:szCs w:val="24"/>
              </w:rPr>
            </w:pPr>
            <w:r w:rsidRPr="00FF2E44">
              <w:rPr>
                <w:rFonts w:asciiTheme="minorHAnsi" w:hAnsiTheme="minorHAnsi" w:cstheme="minorHAnsi"/>
                <w:color w:val="000000" w:themeColor="text1"/>
                <w:sz w:val="24"/>
                <w:szCs w:val="24"/>
              </w:rPr>
              <w:t>Responsible Party (or Parties)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FF2E44" w:rsidRDefault="00947AB3" w:rsidP="003446C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4"/>
                <w:szCs w:val="24"/>
              </w:rPr>
            </w:pPr>
            <w:r w:rsidRPr="00FF2E44">
              <w:rPr>
                <w:rFonts w:asciiTheme="minorHAnsi" w:hAnsiTheme="minorHAnsi" w:cstheme="minorHAnsi"/>
                <w:color w:val="000000" w:themeColor="text1"/>
                <w:sz w:val="24"/>
                <w:szCs w:val="24"/>
              </w:rPr>
              <w:t>Geographic Location</w:t>
            </w:r>
          </w:p>
        </w:tc>
        <w:tc>
          <w:tcPr>
            <w:tcW w:w="1669"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FF2E44" w:rsidRDefault="00947AB3" w:rsidP="003446C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4"/>
                <w:szCs w:val="24"/>
              </w:rPr>
            </w:pPr>
            <w:r w:rsidRPr="00FF2E44">
              <w:rPr>
                <w:rFonts w:asciiTheme="minorHAnsi" w:hAnsiTheme="minorHAnsi" w:cstheme="minorHAnsi"/>
                <w:color w:val="000000" w:themeColor="text1"/>
                <w:sz w:val="24"/>
                <w:szCs w:val="24"/>
              </w:rPr>
              <w:t>Expected Timeline</w:t>
            </w:r>
          </w:p>
        </w:tc>
      </w:tr>
      <w:tr w:rsidR="00947AB3" w:rsidRPr="00FF2E44" w14:paraId="78052ED3" w14:textId="77777777" w:rsidTr="003446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tcPr>
          <w:p w14:paraId="7A54E3E7" w14:textId="77777777" w:rsidR="00947AB3" w:rsidRDefault="00FC7D91" w:rsidP="003446CF">
            <w:pPr>
              <w:rPr>
                <w:rFonts w:asciiTheme="minorHAnsi" w:hAnsiTheme="minorHAnsi" w:cstheme="minorHAnsi"/>
                <w:sz w:val="24"/>
                <w:szCs w:val="24"/>
              </w:rPr>
            </w:pPr>
            <w:r w:rsidRPr="00FF2E44">
              <w:rPr>
                <w:rFonts w:asciiTheme="minorHAnsi" w:hAnsiTheme="minorHAnsi" w:cstheme="minorHAnsi"/>
                <w:sz w:val="24"/>
                <w:szCs w:val="24"/>
              </w:rPr>
              <w:t>Management Approach 1</w:t>
            </w:r>
            <w:r w:rsidR="00FF2E44" w:rsidRPr="00FF2E44">
              <w:rPr>
                <w:rFonts w:asciiTheme="minorHAnsi" w:hAnsiTheme="minorHAnsi" w:cstheme="minorHAnsi"/>
                <w:sz w:val="24"/>
                <w:szCs w:val="24"/>
              </w:rPr>
              <w:t>.</w:t>
            </w:r>
            <w:r w:rsidR="00046FB2" w:rsidRPr="00FF2E44">
              <w:rPr>
                <w:rFonts w:asciiTheme="minorHAnsi" w:hAnsiTheme="minorHAnsi" w:cstheme="minorHAnsi"/>
                <w:sz w:val="24"/>
                <w:szCs w:val="24"/>
              </w:rPr>
              <w:t xml:space="preserve"> Track progress towards the 300 new </w:t>
            </w:r>
            <w:proofErr w:type="gramStart"/>
            <w:r w:rsidR="00046FB2" w:rsidRPr="00FF2E44">
              <w:rPr>
                <w:rFonts w:asciiTheme="minorHAnsi" w:hAnsiTheme="minorHAnsi" w:cstheme="minorHAnsi"/>
                <w:sz w:val="24"/>
                <w:szCs w:val="24"/>
              </w:rPr>
              <w:t>sites</w:t>
            </w:r>
            <w:proofErr w:type="gramEnd"/>
            <w:r w:rsidR="00046FB2" w:rsidRPr="00FF2E44">
              <w:rPr>
                <w:rFonts w:asciiTheme="minorHAnsi" w:hAnsiTheme="minorHAnsi" w:cstheme="minorHAnsi"/>
                <w:sz w:val="24"/>
                <w:szCs w:val="24"/>
              </w:rPr>
              <w:t xml:space="preserve"> goal: </w:t>
            </w:r>
            <w:r w:rsidR="00046FB2" w:rsidRPr="00FF2E44">
              <w:rPr>
                <w:rFonts w:asciiTheme="minorHAnsi" w:hAnsiTheme="minorHAnsi" w:cstheme="minorHAnsi"/>
                <w:b w:val="0"/>
                <w:bCs w:val="0"/>
                <w:sz w:val="24"/>
                <w:szCs w:val="24"/>
              </w:rPr>
              <w:t>At the end of each calendar year partners will compile a list of all new public access sites opened in their jurisdiction during the year. These sites will be tallied and tracked by NPS and counted towards the 300 new sites by 2025 goal.</w:t>
            </w:r>
          </w:p>
          <w:p w14:paraId="1CCCCDF0" w14:textId="75F95C3F" w:rsidR="003446CF" w:rsidRPr="00FF2E44" w:rsidRDefault="003446CF" w:rsidP="003446CF">
            <w:pPr>
              <w:rPr>
                <w:rFonts w:asciiTheme="minorHAnsi" w:hAnsiTheme="minorHAnsi" w:cstheme="minorHAnsi"/>
                <w:sz w:val="24"/>
                <w:szCs w:val="24"/>
              </w:rPr>
            </w:pPr>
          </w:p>
        </w:tc>
      </w:tr>
      <w:tr w:rsidR="00FC7D91" w:rsidRPr="00FF2E44" w14:paraId="48170A43" w14:textId="77777777" w:rsidTr="003446CF">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tcPr>
          <w:p w14:paraId="79E24F28" w14:textId="6D32AF3A" w:rsidR="00947AB3" w:rsidRPr="00FF2E44" w:rsidRDefault="007B76CB" w:rsidP="003446CF">
            <w:pPr>
              <w:pStyle w:val="Heading1"/>
              <w:outlineLvl w:val="0"/>
              <w:rPr>
                <w:rFonts w:asciiTheme="minorHAnsi" w:hAnsiTheme="minorHAnsi" w:cstheme="minorHAnsi"/>
                <w:szCs w:val="24"/>
              </w:rPr>
            </w:pPr>
            <w:bookmarkStart w:id="2" w:name="_1.1"/>
            <w:bookmarkEnd w:id="2"/>
            <w:r w:rsidRPr="00FF2E44">
              <w:rPr>
                <w:rFonts w:asciiTheme="minorHAnsi" w:hAnsiTheme="minorHAnsi" w:cstheme="minorHAnsi"/>
                <w:szCs w:val="24"/>
              </w:rPr>
              <w:t>1.1</w:t>
            </w:r>
          </w:p>
        </w:tc>
        <w:tc>
          <w:tcPr>
            <w:tcW w:w="3600" w:type="dxa"/>
            <w:tcBorders>
              <w:top w:val="single" w:sz="4" w:space="0" w:color="4472C4" w:themeColor="accent5"/>
            </w:tcBorders>
            <w:shd w:val="clear" w:color="auto" w:fill="FFFFFF" w:themeFill="background1"/>
          </w:tcPr>
          <w:p w14:paraId="3F738B5D" w14:textId="77777777" w:rsidR="00B53161" w:rsidRPr="00FF2E44" w:rsidRDefault="00B53161"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sz w:val="24"/>
                <w:szCs w:val="24"/>
              </w:rPr>
              <w:t>Report on new public access sites opened each year.</w:t>
            </w:r>
          </w:p>
          <w:p w14:paraId="7A03B122" w14:textId="39CAC5F7" w:rsidR="00947AB3" w:rsidRPr="00FF2E44" w:rsidRDefault="00947AB3"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4500" w:type="dxa"/>
            <w:tcBorders>
              <w:top w:val="single" w:sz="4" w:space="0" w:color="4472C4" w:themeColor="accent5"/>
            </w:tcBorders>
            <w:shd w:val="clear" w:color="auto" w:fill="FFFFFF" w:themeFill="background1"/>
          </w:tcPr>
          <w:p w14:paraId="7AAF4C13" w14:textId="2913CA1A" w:rsidR="00947AB3" w:rsidRPr="00FF2E44" w:rsidRDefault="00B53161"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sz w:val="24"/>
                <w:szCs w:val="24"/>
              </w:rPr>
              <w:t>New public access sites opened in watershed with target of 20 per year.</w:t>
            </w:r>
          </w:p>
        </w:tc>
        <w:tc>
          <w:tcPr>
            <w:tcW w:w="1890" w:type="dxa"/>
            <w:tcBorders>
              <w:top w:val="single" w:sz="4" w:space="0" w:color="4472C4" w:themeColor="accent5"/>
            </w:tcBorders>
            <w:shd w:val="clear" w:color="auto" w:fill="FFFFFF" w:themeFill="background1"/>
          </w:tcPr>
          <w:p w14:paraId="52FAAE30" w14:textId="77777777" w:rsidR="003446CF" w:rsidRDefault="00B53161"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sz w:val="24"/>
                <w:szCs w:val="24"/>
              </w:rPr>
              <w:t xml:space="preserve">All state and federal partners in Public Access </w:t>
            </w:r>
            <w:r w:rsidR="003446CF">
              <w:rPr>
                <w:rFonts w:asciiTheme="minorHAnsi" w:hAnsiTheme="minorHAnsi" w:cstheme="minorHAnsi"/>
                <w:sz w:val="24"/>
                <w:szCs w:val="24"/>
              </w:rPr>
              <w:t>workgroup.</w:t>
            </w:r>
          </w:p>
          <w:p w14:paraId="3206764E" w14:textId="79A8921F" w:rsidR="00947AB3" w:rsidRPr="00FF2E44" w:rsidRDefault="00B53161"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sz w:val="24"/>
                <w:szCs w:val="24"/>
              </w:rPr>
              <w:t xml:space="preserve"> </w:t>
            </w:r>
          </w:p>
        </w:tc>
        <w:tc>
          <w:tcPr>
            <w:tcW w:w="1620" w:type="dxa"/>
            <w:tcBorders>
              <w:top w:val="single" w:sz="4" w:space="0" w:color="4472C4" w:themeColor="accent5"/>
            </w:tcBorders>
            <w:shd w:val="clear" w:color="auto" w:fill="FFFFFF" w:themeFill="background1"/>
          </w:tcPr>
          <w:p w14:paraId="3CF55C7D" w14:textId="3AF4069D" w:rsidR="00947AB3" w:rsidRPr="00FF2E44" w:rsidRDefault="00046FB2"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sz w:val="24"/>
                <w:szCs w:val="24"/>
              </w:rPr>
              <w:t>Watershed</w:t>
            </w:r>
          </w:p>
        </w:tc>
        <w:tc>
          <w:tcPr>
            <w:tcW w:w="1669" w:type="dxa"/>
            <w:tcBorders>
              <w:top w:val="single" w:sz="4" w:space="0" w:color="4472C4" w:themeColor="accent5"/>
            </w:tcBorders>
            <w:shd w:val="clear" w:color="auto" w:fill="FFFFFF" w:themeFill="background1"/>
          </w:tcPr>
          <w:p w14:paraId="2BE9EC32" w14:textId="1B0FAF41" w:rsidR="00947AB3" w:rsidRPr="00FF2E44" w:rsidRDefault="00046FB2"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sz w:val="24"/>
                <w:szCs w:val="24"/>
              </w:rPr>
              <w:t>Annually</w:t>
            </w:r>
          </w:p>
        </w:tc>
      </w:tr>
      <w:tr w:rsidR="00947AB3" w:rsidRPr="00FF2E44" w14:paraId="7A52C298" w14:textId="77777777" w:rsidTr="003446C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tcPr>
          <w:p w14:paraId="23E682CD" w14:textId="77777777" w:rsidR="00947AB3" w:rsidRDefault="00297C27" w:rsidP="003446CF">
            <w:pPr>
              <w:rPr>
                <w:rFonts w:asciiTheme="minorHAnsi" w:hAnsiTheme="minorHAnsi" w:cstheme="minorHAnsi"/>
                <w:sz w:val="24"/>
                <w:szCs w:val="24"/>
              </w:rPr>
            </w:pPr>
            <w:bookmarkStart w:id="3" w:name="_1.2"/>
            <w:bookmarkStart w:id="4" w:name="_Management_Approach_2:"/>
            <w:bookmarkEnd w:id="3"/>
            <w:bookmarkEnd w:id="4"/>
            <w:r w:rsidRPr="00FF2E44">
              <w:rPr>
                <w:rFonts w:asciiTheme="minorHAnsi" w:hAnsiTheme="minorHAnsi" w:cstheme="minorHAnsi"/>
                <w:sz w:val="24"/>
                <w:szCs w:val="24"/>
              </w:rPr>
              <w:t>Management Approach 2</w:t>
            </w:r>
            <w:r w:rsidR="00FF2E44" w:rsidRPr="00FF2E44">
              <w:rPr>
                <w:rFonts w:asciiTheme="minorHAnsi" w:hAnsiTheme="minorHAnsi" w:cstheme="minorHAnsi"/>
                <w:sz w:val="24"/>
                <w:szCs w:val="24"/>
              </w:rPr>
              <w:t>.</w:t>
            </w:r>
            <w:r w:rsidRPr="00FF2E44">
              <w:rPr>
                <w:rFonts w:asciiTheme="minorHAnsi" w:hAnsiTheme="minorHAnsi" w:cstheme="minorHAnsi"/>
                <w:sz w:val="24"/>
                <w:szCs w:val="24"/>
              </w:rPr>
              <w:t xml:space="preserve"> Make funding for public access a priority: </w:t>
            </w:r>
            <w:r w:rsidRPr="00FF2E44">
              <w:rPr>
                <w:rFonts w:asciiTheme="minorHAnsi" w:hAnsiTheme="minorHAnsi" w:cstheme="minorHAnsi"/>
                <w:b w:val="0"/>
                <w:bCs w:val="0"/>
                <w:sz w:val="24"/>
                <w:szCs w:val="24"/>
              </w:rPr>
              <w:t>Sustain funding for development of new public access sites and maintenance of existing sites, including maintenance dredging of small channels. Relevant state and federal funding or matching grant programs should consider prioritizing projects that include new public access sites.</w:t>
            </w:r>
          </w:p>
          <w:p w14:paraId="65975989" w14:textId="25B82169" w:rsidR="003446CF" w:rsidRPr="00FF2E44" w:rsidRDefault="003446CF" w:rsidP="003446CF">
            <w:pPr>
              <w:rPr>
                <w:rFonts w:asciiTheme="minorHAnsi" w:hAnsiTheme="minorHAnsi" w:cstheme="minorHAnsi"/>
                <w:sz w:val="24"/>
                <w:szCs w:val="24"/>
              </w:rPr>
            </w:pPr>
          </w:p>
        </w:tc>
      </w:tr>
      <w:tr w:rsidR="00CF3E1F" w:rsidRPr="00FF2E44" w14:paraId="2DABE5B7" w14:textId="77777777" w:rsidTr="003446CF">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tcPr>
          <w:p w14:paraId="54003BA7" w14:textId="50556DF0" w:rsidR="00CF3E1F" w:rsidRPr="00FC1E9B" w:rsidRDefault="00CF3E1F" w:rsidP="003446CF">
            <w:pPr>
              <w:rPr>
                <w:rFonts w:asciiTheme="minorHAnsi" w:hAnsiTheme="minorHAnsi" w:cstheme="minorHAnsi"/>
                <w:sz w:val="24"/>
                <w:szCs w:val="24"/>
              </w:rPr>
            </w:pPr>
            <w:r w:rsidRPr="00FC1E9B">
              <w:rPr>
                <w:rFonts w:asciiTheme="minorHAnsi" w:hAnsiTheme="minorHAnsi" w:cstheme="minorHAnsi"/>
                <w:color w:val="000000"/>
                <w:sz w:val="24"/>
                <w:szCs w:val="24"/>
              </w:rPr>
              <w:t>2.1</w:t>
            </w:r>
          </w:p>
        </w:tc>
        <w:tc>
          <w:tcPr>
            <w:tcW w:w="3600" w:type="dxa"/>
            <w:tcBorders>
              <w:top w:val="single" w:sz="4" w:space="0" w:color="4472C4" w:themeColor="accent5"/>
            </w:tcBorders>
            <w:shd w:val="clear" w:color="auto" w:fill="FFFFFF" w:themeFill="background1"/>
          </w:tcPr>
          <w:p w14:paraId="27FD4804" w14:textId="78676454" w:rsidR="00CF3E1F" w:rsidRPr="00FF2E44" w:rsidRDefault="00CF3E1F"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color w:val="000000"/>
                <w:sz w:val="24"/>
                <w:szCs w:val="24"/>
              </w:rPr>
              <w:t>Develop new public access sites by targeting financial assistance programs as appropriate.</w:t>
            </w:r>
          </w:p>
        </w:tc>
        <w:tc>
          <w:tcPr>
            <w:tcW w:w="4500" w:type="dxa"/>
            <w:tcBorders>
              <w:top w:val="single" w:sz="4" w:space="0" w:color="4472C4" w:themeColor="accent5"/>
            </w:tcBorders>
            <w:shd w:val="clear" w:color="auto" w:fill="FFFFFF" w:themeFill="background1"/>
          </w:tcPr>
          <w:p w14:paraId="3AC08CD5" w14:textId="64F1E605" w:rsidR="00CF3E1F" w:rsidRPr="004C57F6" w:rsidRDefault="00CF3E1F" w:rsidP="004C57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C57F6">
              <w:rPr>
                <w:rFonts w:asciiTheme="minorHAnsi" w:hAnsiTheme="minorHAnsi" w:cstheme="minorHAnsi"/>
                <w:color w:val="000000"/>
                <w:sz w:val="24"/>
                <w:szCs w:val="24"/>
              </w:rPr>
              <w:t>Evidence of grant/financial award programs with application criteria supporting public access development.</w:t>
            </w:r>
          </w:p>
        </w:tc>
        <w:tc>
          <w:tcPr>
            <w:tcW w:w="1890" w:type="dxa"/>
            <w:tcBorders>
              <w:top w:val="single" w:sz="4" w:space="0" w:color="4472C4" w:themeColor="accent5"/>
            </w:tcBorders>
            <w:shd w:val="clear" w:color="auto" w:fill="FFFFFF" w:themeFill="background1"/>
          </w:tcPr>
          <w:p w14:paraId="07E796E2" w14:textId="686DBD39" w:rsidR="00CF3E1F" w:rsidRPr="00FF2E44" w:rsidRDefault="00CF3E1F"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color w:val="000000"/>
                <w:sz w:val="24"/>
                <w:szCs w:val="24"/>
              </w:rPr>
              <w:t xml:space="preserve">State and federal partners who administer appropriate financial assistance awards programs (This list includes VA DCR, VA DGIF, PA DCNR, MD DNR, NPS, USFWS, WV </w:t>
            </w:r>
            <w:r w:rsidRPr="00FF2E44">
              <w:rPr>
                <w:rFonts w:asciiTheme="minorHAnsi" w:hAnsiTheme="minorHAnsi" w:cstheme="minorHAnsi"/>
                <w:color w:val="000000"/>
                <w:sz w:val="24"/>
                <w:szCs w:val="24"/>
              </w:rPr>
              <w:lastRenderedPageBreak/>
              <w:t>DNR, NY DEC, DE DPR and DC DOE)</w:t>
            </w:r>
          </w:p>
        </w:tc>
        <w:tc>
          <w:tcPr>
            <w:tcW w:w="1620" w:type="dxa"/>
            <w:tcBorders>
              <w:top w:val="single" w:sz="4" w:space="0" w:color="4472C4" w:themeColor="accent5"/>
            </w:tcBorders>
            <w:shd w:val="clear" w:color="auto" w:fill="FFFFFF" w:themeFill="background1"/>
          </w:tcPr>
          <w:p w14:paraId="5A9404DC" w14:textId="382AB612" w:rsidR="00CF3E1F" w:rsidRPr="00FF2E44" w:rsidRDefault="00CF3E1F"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color w:val="000000"/>
                <w:sz w:val="24"/>
                <w:szCs w:val="24"/>
              </w:rPr>
              <w:lastRenderedPageBreak/>
              <w:t>Watershed</w:t>
            </w:r>
          </w:p>
        </w:tc>
        <w:tc>
          <w:tcPr>
            <w:tcW w:w="1669" w:type="dxa"/>
            <w:tcBorders>
              <w:top w:val="single" w:sz="4" w:space="0" w:color="4472C4" w:themeColor="accent5"/>
            </w:tcBorders>
            <w:shd w:val="clear" w:color="auto" w:fill="FFFFFF" w:themeFill="background1"/>
          </w:tcPr>
          <w:p w14:paraId="7B8B64EE" w14:textId="30B1E498" w:rsidR="00CF3E1F" w:rsidRPr="00FF2E44" w:rsidRDefault="00CF3E1F" w:rsidP="003446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sz w:val="24"/>
                <w:szCs w:val="24"/>
              </w:rPr>
              <w:t>2022 - 2023</w:t>
            </w:r>
          </w:p>
        </w:tc>
      </w:tr>
      <w:tr w:rsidR="00CF3E1F" w:rsidRPr="00FF2E44" w14:paraId="0E681845" w14:textId="77777777" w:rsidTr="003446C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36985CA5" w14:textId="26F50501" w:rsidR="00CF3E1F" w:rsidRPr="00FC1E9B" w:rsidRDefault="00CF3E1F" w:rsidP="003446CF">
            <w:pPr>
              <w:rPr>
                <w:rFonts w:asciiTheme="minorHAnsi" w:hAnsiTheme="minorHAnsi" w:cstheme="minorHAnsi"/>
                <w:sz w:val="24"/>
                <w:szCs w:val="24"/>
              </w:rPr>
            </w:pPr>
            <w:bookmarkStart w:id="5" w:name="_Management_Approach_3:"/>
            <w:bookmarkEnd w:id="5"/>
            <w:r w:rsidRPr="00FC1E9B">
              <w:rPr>
                <w:rFonts w:asciiTheme="minorHAnsi" w:hAnsiTheme="minorHAnsi" w:cstheme="minorHAnsi"/>
                <w:color w:val="000000"/>
                <w:sz w:val="24"/>
                <w:szCs w:val="24"/>
              </w:rPr>
              <w:t>2.2</w:t>
            </w:r>
          </w:p>
        </w:tc>
        <w:tc>
          <w:tcPr>
            <w:tcW w:w="3600" w:type="dxa"/>
            <w:shd w:val="clear" w:color="auto" w:fill="FFFFFF" w:themeFill="background1"/>
          </w:tcPr>
          <w:p w14:paraId="0E270481" w14:textId="20CDB5EE" w:rsidR="00CF3E1F" w:rsidRPr="00FF2E44" w:rsidRDefault="00CF3E1F" w:rsidP="003446C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color w:val="000000"/>
                <w:sz w:val="24"/>
                <w:szCs w:val="24"/>
              </w:rPr>
              <w:t>Provide agency budgets that support public access development and maintenance.</w:t>
            </w:r>
          </w:p>
        </w:tc>
        <w:tc>
          <w:tcPr>
            <w:tcW w:w="4500" w:type="dxa"/>
            <w:shd w:val="clear" w:color="auto" w:fill="FFFFFF" w:themeFill="background1"/>
          </w:tcPr>
          <w:p w14:paraId="09E4852F" w14:textId="0EC938A4" w:rsidR="00CF3E1F" w:rsidRPr="00FF2E44" w:rsidRDefault="00CF3E1F" w:rsidP="003446C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color w:val="000000"/>
                <w:sz w:val="24"/>
                <w:szCs w:val="24"/>
              </w:rPr>
              <w:t>Provision of budgets that support public access development and maintenance.</w:t>
            </w:r>
          </w:p>
        </w:tc>
        <w:tc>
          <w:tcPr>
            <w:tcW w:w="1890" w:type="dxa"/>
            <w:shd w:val="clear" w:color="auto" w:fill="FFFFFF" w:themeFill="background1"/>
          </w:tcPr>
          <w:p w14:paraId="588EA280" w14:textId="77777777" w:rsidR="00CF3E1F" w:rsidRPr="00FF2E44" w:rsidRDefault="00CF3E1F" w:rsidP="003446CF">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2E44">
              <w:rPr>
                <w:rFonts w:asciiTheme="minorHAnsi" w:hAnsiTheme="minorHAnsi" w:cstheme="minorHAnsi"/>
                <w:color w:val="000000"/>
              </w:rPr>
              <w:t>State and federal partners who manage public access programs.</w:t>
            </w:r>
          </w:p>
          <w:p w14:paraId="1ED61805" w14:textId="77777777" w:rsidR="00CF3E1F" w:rsidRPr="00FF2E44" w:rsidRDefault="00CF3E1F" w:rsidP="003446C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620" w:type="dxa"/>
            <w:shd w:val="clear" w:color="auto" w:fill="FFFFFF" w:themeFill="background1"/>
          </w:tcPr>
          <w:p w14:paraId="16643749" w14:textId="72FCE7CE" w:rsidR="00CF3E1F" w:rsidRPr="00FF2E44" w:rsidRDefault="00CF3E1F" w:rsidP="003446C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color w:val="000000"/>
                <w:sz w:val="24"/>
                <w:szCs w:val="24"/>
              </w:rPr>
              <w:t>Watershed</w:t>
            </w:r>
          </w:p>
        </w:tc>
        <w:tc>
          <w:tcPr>
            <w:tcW w:w="1669" w:type="dxa"/>
            <w:shd w:val="clear" w:color="auto" w:fill="FFFFFF" w:themeFill="background1"/>
          </w:tcPr>
          <w:p w14:paraId="1DA9993A" w14:textId="0283249F" w:rsidR="00CF3E1F" w:rsidRPr="00FF2E44" w:rsidRDefault="00CF3E1F" w:rsidP="003446C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FF2E44">
              <w:rPr>
                <w:rFonts w:asciiTheme="minorHAnsi" w:hAnsiTheme="minorHAnsi" w:cstheme="minorHAnsi"/>
                <w:sz w:val="24"/>
                <w:szCs w:val="24"/>
              </w:rPr>
              <w:t>2022 - 2023</w:t>
            </w:r>
          </w:p>
        </w:tc>
      </w:tr>
      <w:tr w:rsidR="00CF3E1F" w:rsidRPr="00FF2E44" w14:paraId="2A120636" w14:textId="77777777" w:rsidTr="003446CF">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D9E2F3" w:themeFill="accent5" w:themeFillTint="33"/>
          </w:tcPr>
          <w:p w14:paraId="268DD430" w14:textId="42F115B6" w:rsidR="00CF3E1F" w:rsidRPr="00FF2E44" w:rsidRDefault="00A2492B" w:rsidP="003446CF">
            <w:pPr>
              <w:rPr>
                <w:rFonts w:asciiTheme="minorHAnsi" w:hAnsiTheme="minorHAnsi" w:cstheme="minorHAnsi"/>
                <w:sz w:val="24"/>
                <w:szCs w:val="24"/>
              </w:rPr>
            </w:pPr>
            <w:r w:rsidRPr="00FF2E44">
              <w:rPr>
                <w:rFonts w:asciiTheme="minorHAnsi" w:hAnsiTheme="minorHAnsi" w:cstheme="minorHAnsi"/>
                <w:sz w:val="24"/>
                <w:szCs w:val="24"/>
              </w:rPr>
              <w:t>Management Approach 3</w:t>
            </w:r>
            <w:r w:rsidR="00FF2E44" w:rsidRPr="00FF2E44">
              <w:rPr>
                <w:rFonts w:asciiTheme="minorHAnsi" w:hAnsiTheme="minorHAnsi" w:cstheme="minorHAnsi"/>
                <w:sz w:val="24"/>
                <w:szCs w:val="24"/>
              </w:rPr>
              <w:t>.</w:t>
            </w:r>
            <w:r w:rsidRPr="00FF2E44">
              <w:rPr>
                <w:rFonts w:asciiTheme="minorHAnsi" w:hAnsiTheme="minorHAnsi" w:cstheme="minorHAnsi"/>
                <w:sz w:val="24"/>
                <w:szCs w:val="24"/>
              </w:rPr>
              <w:t xml:space="preserve"> Enhance public access for a diverse population: </w:t>
            </w:r>
            <w:r w:rsidRPr="00FF2E44">
              <w:rPr>
                <w:rFonts w:asciiTheme="minorHAnsi" w:hAnsiTheme="minorHAnsi" w:cstheme="minorHAnsi"/>
                <w:b w:val="0"/>
                <w:bCs w:val="0"/>
                <w:sz w:val="24"/>
                <w:szCs w:val="24"/>
              </w:rPr>
              <w:t>The ways that the public in general use and access water resources is growing and changing. Partners should research and implement recommendations to improve access for all communities.</w:t>
            </w:r>
          </w:p>
        </w:tc>
      </w:tr>
      <w:tr w:rsidR="00AB57CC" w:rsidRPr="00FF2E44" w14:paraId="0E332C83" w14:textId="77777777" w:rsidTr="0063777D">
        <w:trPr>
          <w:cnfStyle w:val="000000100000" w:firstRow="0" w:lastRow="0" w:firstColumn="0" w:lastColumn="0" w:oddVBand="0" w:evenVBand="0" w:oddHBand="1" w:evenHBand="0" w:firstRowFirstColumn="0" w:firstRowLastColumn="0" w:lastRowFirstColumn="0" w:lastRowLastColumn="0"/>
          <w:trHeight w:val="245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4A77CC82" w14:textId="56E04C1B" w:rsidR="00AB57CC" w:rsidRPr="00FF2E44" w:rsidRDefault="00AB57CC" w:rsidP="00CD7FBD">
            <w:pPr>
              <w:rPr>
                <w:rFonts w:asciiTheme="minorHAnsi" w:hAnsiTheme="minorHAnsi" w:cstheme="minorHAnsi"/>
                <w:sz w:val="24"/>
                <w:szCs w:val="24"/>
              </w:rPr>
            </w:pPr>
            <w:r>
              <w:rPr>
                <w:rFonts w:asciiTheme="minorHAnsi" w:hAnsiTheme="minorHAnsi" w:cstheme="minorHAnsi"/>
                <w:sz w:val="24"/>
                <w:szCs w:val="24"/>
              </w:rPr>
              <w:t>3.1</w:t>
            </w:r>
          </w:p>
        </w:tc>
        <w:tc>
          <w:tcPr>
            <w:tcW w:w="3600" w:type="dxa"/>
            <w:shd w:val="clear" w:color="auto" w:fill="FFFFFF" w:themeFill="background1"/>
          </w:tcPr>
          <w:p w14:paraId="70ED6EF7" w14:textId="069DAA87" w:rsidR="00AB57CC" w:rsidRPr="00FF2E44" w:rsidRDefault="00AB57CC" w:rsidP="00CD7F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Improve access to water-based resources and associated green space, with specific emphasis on currently underserved neighborhoods and communities.</w:t>
            </w:r>
          </w:p>
        </w:tc>
        <w:tc>
          <w:tcPr>
            <w:tcW w:w="4500" w:type="dxa"/>
            <w:shd w:val="clear" w:color="auto" w:fill="FFFFFF" w:themeFill="background1"/>
          </w:tcPr>
          <w:p w14:paraId="5FC6EE78" w14:textId="1010E977" w:rsidR="00AB57CC" w:rsidRPr="00FF2E44" w:rsidRDefault="00AB57CC" w:rsidP="004C57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Increase connectedness where feasible to existing or new public access sites to make them more accessible to urban populations.</w:t>
            </w:r>
          </w:p>
        </w:tc>
        <w:tc>
          <w:tcPr>
            <w:tcW w:w="1890" w:type="dxa"/>
            <w:shd w:val="clear" w:color="auto" w:fill="FFFFFF" w:themeFill="background1"/>
          </w:tcPr>
          <w:p w14:paraId="5C5823BD" w14:textId="77777777" w:rsidR="00AB57CC" w:rsidRDefault="00AB57CC" w:rsidP="004C57F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Each state and jurisdiction in the watershed as staff and funding allows. Urban areas throughout the watershed.</w:t>
            </w:r>
          </w:p>
          <w:p w14:paraId="6DB74B6E" w14:textId="7BBD780B" w:rsidR="00AB57CC" w:rsidRPr="00FF2E44" w:rsidRDefault="00AB57CC" w:rsidP="004C57F6">
            <w:pPr>
              <w:pStyle w:val="NormalWeb"/>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20" w:type="dxa"/>
            <w:shd w:val="clear" w:color="auto" w:fill="FFFFFF" w:themeFill="background1"/>
          </w:tcPr>
          <w:p w14:paraId="2BD5B2FF" w14:textId="665016B9" w:rsidR="00AB57CC" w:rsidRPr="00FF2E44" w:rsidRDefault="00AB57CC" w:rsidP="00CD7F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Watershed</w:t>
            </w:r>
          </w:p>
        </w:tc>
        <w:tc>
          <w:tcPr>
            <w:tcW w:w="1669" w:type="dxa"/>
            <w:shd w:val="clear" w:color="auto" w:fill="FFFFFF" w:themeFill="background1"/>
          </w:tcPr>
          <w:p w14:paraId="4040BA2D" w14:textId="6CB123B0" w:rsidR="00AB57CC" w:rsidRPr="00FF2E44" w:rsidRDefault="00AB57CC" w:rsidP="00CD7F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2022 - 2023</w:t>
            </w:r>
          </w:p>
        </w:tc>
      </w:tr>
      <w:tr w:rsidR="00AB57CC" w:rsidRPr="00FF2E44" w14:paraId="043637A1" w14:textId="77777777" w:rsidTr="003446CF">
        <w:trPr>
          <w:trHeight w:val="293"/>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FFFFFF" w:themeFill="background1"/>
          </w:tcPr>
          <w:p w14:paraId="01A8CD72" w14:textId="161A14C0" w:rsidR="00AB57CC" w:rsidRDefault="00AB57CC" w:rsidP="00AB57CC">
            <w:pPr>
              <w:rPr>
                <w:rFonts w:asciiTheme="minorHAnsi" w:hAnsiTheme="minorHAnsi" w:cstheme="minorHAnsi"/>
                <w:sz w:val="24"/>
                <w:szCs w:val="24"/>
              </w:rPr>
            </w:pPr>
            <w:r>
              <w:rPr>
                <w:rFonts w:asciiTheme="minorHAnsi" w:hAnsiTheme="minorHAnsi" w:cstheme="minorHAnsi"/>
                <w:sz w:val="24"/>
                <w:szCs w:val="24"/>
              </w:rPr>
              <w:t>3.2</w:t>
            </w:r>
          </w:p>
        </w:tc>
        <w:tc>
          <w:tcPr>
            <w:tcW w:w="3600" w:type="dxa"/>
            <w:vMerge w:val="restart"/>
            <w:shd w:val="clear" w:color="auto" w:fill="FFFFFF" w:themeFill="background1"/>
          </w:tcPr>
          <w:p w14:paraId="43DE30A8" w14:textId="5D89A7A1" w:rsidR="00AB57CC" w:rsidRDefault="00AB57CC" w:rsidP="00AB57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Enhance the number of new stewards through engagement of all populations in the watershed.</w:t>
            </w:r>
          </w:p>
        </w:tc>
        <w:tc>
          <w:tcPr>
            <w:tcW w:w="4500" w:type="dxa"/>
            <w:shd w:val="clear" w:color="auto" w:fill="FFFFFF" w:themeFill="background1"/>
          </w:tcPr>
          <w:p w14:paraId="3DFD773F" w14:textId="24BBF461" w:rsidR="00AB57CC" w:rsidRDefault="00AB57CC" w:rsidP="00AB57C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Theme="minorHAnsi" w:hAnsiTheme="minorHAnsi" w:cstheme="minorHAnsi"/>
              </w:rPr>
              <w:t>Distribute the results of the Public Access Benefits and Barriers Research currently underway. Which, in part, aims to identify barriers that prevent traditionally underserved residents from using public access sites and recommendations on how to best address those barriers.</w:t>
            </w:r>
          </w:p>
        </w:tc>
        <w:tc>
          <w:tcPr>
            <w:tcW w:w="1890" w:type="dxa"/>
            <w:shd w:val="clear" w:color="auto" w:fill="FFFFFF" w:themeFill="background1"/>
          </w:tcPr>
          <w:p w14:paraId="3FD48580" w14:textId="599AEE0D" w:rsidR="00AB57CC" w:rsidRDefault="00AB57CC" w:rsidP="00AB57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Theme="minorHAnsi" w:hAnsiTheme="minorHAnsi" w:cstheme="minorHAnsi"/>
                <w:sz w:val="24"/>
                <w:szCs w:val="24"/>
              </w:rPr>
              <w:t>Public Access Workgroup w/ CBP Communications Team</w:t>
            </w:r>
          </w:p>
        </w:tc>
        <w:tc>
          <w:tcPr>
            <w:tcW w:w="1620" w:type="dxa"/>
            <w:shd w:val="clear" w:color="auto" w:fill="FFFFFF" w:themeFill="background1"/>
          </w:tcPr>
          <w:p w14:paraId="571262A1" w14:textId="600CC5F7" w:rsidR="00AB57CC" w:rsidRDefault="00AB57CC" w:rsidP="00AB57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Watershed</w:t>
            </w:r>
          </w:p>
        </w:tc>
        <w:tc>
          <w:tcPr>
            <w:tcW w:w="1669" w:type="dxa"/>
            <w:shd w:val="clear" w:color="auto" w:fill="FFFFFF" w:themeFill="background1"/>
          </w:tcPr>
          <w:p w14:paraId="775EA03D" w14:textId="651376F6" w:rsidR="00AB57CC" w:rsidRDefault="00AB57CC" w:rsidP="00AB57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2022 - 2023</w:t>
            </w:r>
          </w:p>
        </w:tc>
      </w:tr>
      <w:tr w:rsidR="00AB57CC" w:rsidRPr="00FF2E44" w14:paraId="307FDC42" w14:textId="77777777" w:rsidTr="003446C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FFFFFF" w:themeFill="background1"/>
          </w:tcPr>
          <w:p w14:paraId="5C3F6119" w14:textId="4DC1465E" w:rsidR="00AB57CC" w:rsidRPr="00FF2E44" w:rsidRDefault="00AB57CC" w:rsidP="00AB57CC">
            <w:pPr>
              <w:rPr>
                <w:rFonts w:asciiTheme="minorHAnsi" w:hAnsiTheme="minorHAnsi" w:cstheme="minorHAnsi"/>
                <w:sz w:val="24"/>
                <w:szCs w:val="24"/>
              </w:rPr>
            </w:pPr>
          </w:p>
        </w:tc>
        <w:tc>
          <w:tcPr>
            <w:tcW w:w="3600" w:type="dxa"/>
            <w:vMerge/>
            <w:shd w:val="clear" w:color="auto" w:fill="FFFFFF" w:themeFill="background1"/>
          </w:tcPr>
          <w:p w14:paraId="067CEF2D" w14:textId="064F9B56" w:rsidR="00AB57CC" w:rsidRPr="000416E8"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c>
          <w:tcPr>
            <w:tcW w:w="4500" w:type="dxa"/>
            <w:shd w:val="clear" w:color="auto" w:fill="FFFFFF" w:themeFill="background1"/>
          </w:tcPr>
          <w:p w14:paraId="31C9AAFD" w14:textId="3DB44596" w:rsidR="00AB57CC" w:rsidRDefault="00AB57CC" w:rsidP="00AB57C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Increase the diversity and number of new public access site users through programs that engage both families and youth. This could include such activities as kids in kayaks, canoe mobile, and the Youth Conservation Corps (YCC).</w:t>
            </w:r>
          </w:p>
          <w:p w14:paraId="01F044D4" w14:textId="77777777" w:rsidR="00AB57CC" w:rsidRPr="00FF2E44"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890" w:type="dxa"/>
            <w:shd w:val="clear" w:color="auto" w:fill="FFFFFF" w:themeFill="background1"/>
          </w:tcPr>
          <w:p w14:paraId="798D2452" w14:textId="20B17591" w:rsidR="00AB57CC" w:rsidRPr="00FF2E44"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lastRenderedPageBreak/>
              <w:t xml:space="preserve">Federal, </w:t>
            </w:r>
            <w:proofErr w:type="gramStart"/>
            <w:r>
              <w:rPr>
                <w:rFonts w:ascii="Calibri" w:hAnsi="Calibri" w:cs="Calibri"/>
                <w:color w:val="000000"/>
              </w:rPr>
              <w:t>state</w:t>
            </w:r>
            <w:proofErr w:type="gramEnd"/>
            <w:r>
              <w:rPr>
                <w:rFonts w:ascii="Calibri" w:hAnsi="Calibri" w:cs="Calibri"/>
                <w:color w:val="000000"/>
              </w:rPr>
              <w:t xml:space="preserve"> and local agencies as appropriate and as resources allow.</w:t>
            </w:r>
          </w:p>
        </w:tc>
        <w:tc>
          <w:tcPr>
            <w:tcW w:w="1620" w:type="dxa"/>
            <w:shd w:val="clear" w:color="auto" w:fill="FFFFFF" w:themeFill="background1"/>
          </w:tcPr>
          <w:p w14:paraId="36B75D8C" w14:textId="52F8045B" w:rsidR="00AB57CC" w:rsidRPr="00FF2E44"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Watershed</w:t>
            </w:r>
          </w:p>
        </w:tc>
        <w:tc>
          <w:tcPr>
            <w:tcW w:w="1669" w:type="dxa"/>
            <w:shd w:val="clear" w:color="auto" w:fill="FFFFFF" w:themeFill="background1"/>
          </w:tcPr>
          <w:p w14:paraId="338C82BA" w14:textId="54CF5DCD" w:rsidR="00AB57CC" w:rsidRPr="00FF2E44"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2022 - 2023</w:t>
            </w:r>
          </w:p>
        </w:tc>
      </w:tr>
      <w:tr w:rsidR="00AB57CC" w:rsidRPr="00FF2E44" w14:paraId="36905143" w14:textId="77777777" w:rsidTr="003446CF">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5DAA0232" w14:textId="77777777" w:rsidR="00AB57CC" w:rsidRPr="00FF2E44" w:rsidRDefault="00AB57CC" w:rsidP="00AB57CC">
            <w:pPr>
              <w:rPr>
                <w:rFonts w:asciiTheme="minorHAnsi" w:hAnsiTheme="minorHAnsi" w:cstheme="minorHAnsi"/>
                <w:sz w:val="24"/>
                <w:szCs w:val="24"/>
              </w:rPr>
            </w:pPr>
          </w:p>
        </w:tc>
        <w:tc>
          <w:tcPr>
            <w:tcW w:w="3600" w:type="dxa"/>
            <w:shd w:val="clear" w:color="auto" w:fill="FFFFFF" w:themeFill="background1"/>
          </w:tcPr>
          <w:p w14:paraId="5E231393" w14:textId="77777777" w:rsidR="00AB57CC" w:rsidRPr="000416E8"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c>
          <w:tcPr>
            <w:tcW w:w="4500" w:type="dxa"/>
            <w:shd w:val="clear" w:color="auto" w:fill="FFFFFF" w:themeFill="background1"/>
          </w:tcPr>
          <w:p w14:paraId="02B2DF53" w14:textId="5135EC73" w:rsidR="00AB57CC" w:rsidRDefault="00AB57CC" w:rsidP="00AB57C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Increase </w:t>
            </w:r>
            <w:r w:rsidRPr="00AB57CC">
              <w:rPr>
                <w:rFonts w:ascii="Calibri" w:hAnsi="Calibri" w:cs="Calibri"/>
                <w:color w:val="000000"/>
                <w:sz w:val="22"/>
                <w:szCs w:val="22"/>
              </w:rPr>
              <w:t>multilingual signage that meets needs of a diverse user population near a site.</w:t>
            </w:r>
          </w:p>
        </w:tc>
        <w:tc>
          <w:tcPr>
            <w:tcW w:w="1890" w:type="dxa"/>
            <w:shd w:val="clear" w:color="auto" w:fill="FFFFFF" w:themeFill="background1"/>
          </w:tcPr>
          <w:p w14:paraId="232E1C5D" w14:textId="6F580F46" w:rsidR="00AB57CC" w:rsidRDefault="00AB57CC" w:rsidP="00AB57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Federal, </w:t>
            </w:r>
            <w:proofErr w:type="gramStart"/>
            <w:r>
              <w:rPr>
                <w:rFonts w:ascii="Calibri" w:hAnsi="Calibri" w:cs="Calibri"/>
                <w:color w:val="000000"/>
              </w:rPr>
              <w:t>state</w:t>
            </w:r>
            <w:proofErr w:type="gramEnd"/>
            <w:r>
              <w:rPr>
                <w:rFonts w:ascii="Calibri" w:hAnsi="Calibri" w:cs="Calibri"/>
                <w:color w:val="000000"/>
              </w:rPr>
              <w:t xml:space="preserve"> and local agencies as appropriate and as resources allow.</w:t>
            </w:r>
          </w:p>
        </w:tc>
        <w:tc>
          <w:tcPr>
            <w:tcW w:w="1620" w:type="dxa"/>
            <w:shd w:val="clear" w:color="auto" w:fill="FFFFFF" w:themeFill="background1"/>
          </w:tcPr>
          <w:p w14:paraId="3B02F1E1" w14:textId="0D3FACEC" w:rsidR="00AB57CC" w:rsidRDefault="00AB57CC" w:rsidP="00AB57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Watershed</w:t>
            </w:r>
          </w:p>
        </w:tc>
        <w:tc>
          <w:tcPr>
            <w:tcW w:w="1669" w:type="dxa"/>
            <w:shd w:val="clear" w:color="auto" w:fill="FFFFFF" w:themeFill="background1"/>
          </w:tcPr>
          <w:p w14:paraId="7B062A43" w14:textId="5BD4593C" w:rsidR="00AB57CC" w:rsidRDefault="00AB57CC" w:rsidP="00AB57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2022 - 2023</w:t>
            </w:r>
          </w:p>
        </w:tc>
      </w:tr>
      <w:tr w:rsidR="00AB57CC" w:rsidRPr="00FF2E44" w14:paraId="3F6D230F" w14:textId="77777777" w:rsidTr="003446C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tcPr>
          <w:p w14:paraId="5DDE97A9" w14:textId="2293B47B" w:rsidR="00AB57CC" w:rsidRPr="00FF2E44" w:rsidRDefault="00AB57CC" w:rsidP="00AB57CC">
            <w:pPr>
              <w:rPr>
                <w:rFonts w:asciiTheme="minorHAnsi" w:hAnsiTheme="minorHAnsi" w:cstheme="minorHAnsi"/>
                <w:sz w:val="24"/>
                <w:szCs w:val="24"/>
              </w:rPr>
            </w:pPr>
            <w:r w:rsidRPr="00FF2E44">
              <w:rPr>
                <w:rFonts w:asciiTheme="minorHAnsi" w:hAnsiTheme="minorHAnsi" w:cstheme="minorHAnsi"/>
                <w:sz w:val="24"/>
                <w:szCs w:val="24"/>
              </w:rPr>
              <w:t xml:space="preserve">Management Approach 4. Comprehensive Planning Approach for Public Access sites: </w:t>
            </w:r>
            <w:r w:rsidRPr="00FF2E44">
              <w:rPr>
                <w:rFonts w:asciiTheme="minorHAnsi" w:hAnsiTheme="minorHAnsi" w:cstheme="minorHAnsi"/>
                <w:b w:val="0"/>
                <w:bCs w:val="0"/>
                <w:sz w:val="24"/>
                <w:szCs w:val="24"/>
              </w:rPr>
              <w:t xml:space="preserve">Public access to waterways should continue to be an important component in recreation plans at all levels of government to achieve the Public Access goal. Support for planning and design through funding and technical assistance will be key to effective master planning of public access sites to address changing use patterns, federal and state </w:t>
            </w:r>
            <w:proofErr w:type="gramStart"/>
            <w:r w:rsidRPr="00FF2E44">
              <w:rPr>
                <w:rFonts w:asciiTheme="minorHAnsi" w:hAnsiTheme="minorHAnsi" w:cstheme="minorHAnsi"/>
                <w:b w:val="0"/>
                <w:bCs w:val="0"/>
                <w:sz w:val="24"/>
                <w:szCs w:val="24"/>
              </w:rPr>
              <w:t>standards</w:t>
            </w:r>
            <w:proofErr w:type="gramEnd"/>
            <w:r w:rsidRPr="00FF2E44">
              <w:rPr>
                <w:rFonts w:asciiTheme="minorHAnsi" w:hAnsiTheme="minorHAnsi" w:cstheme="minorHAnsi"/>
                <w:b w:val="0"/>
                <w:bCs w:val="0"/>
                <w:sz w:val="24"/>
                <w:szCs w:val="24"/>
              </w:rPr>
              <w:t xml:space="preserve"> and guidelines such as accessibility, and climate change.</w:t>
            </w:r>
          </w:p>
        </w:tc>
      </w:tr>
      <w:tr w:rsidR="00AB57CC" w:rsidRPr="00FF2E44" w14:paraId="3604698A" w14:textId="77777777" w:rsidTr="003446CF">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7960434A" w14:textId="25217AE4" w:rsidR="00AB57CC" w:rsidRPr="00D03490" w:rsidRDefault="00AB57CC" w:rsidP="00AB57CC">
            <w:pPr>
              <w:rPr>
                <w:rFonts w:asciiTheme="minorHAnsi" w:hAnsiTheme="minorHAnsi" w:cstheme="minorHAnsi"/>
                <w:sz w:val="24"/>
                <w:szCs w:val="24"/>
              </w:rPr>
            </w:pPr>
            <w:r w:rsidRPr="00D03490">
              <w:rPr>
                <w:rFonts w:asciiTheme="minorHAnsi" w:hAnsiTheme="minorHAnsi" w:cstheme="minorHAnsi"/>
                <w:sz w:val="24"/>
                <w:szCs w:val="24"/>
              </w:rPr>
              <w:t>4.1</w:t>
            </w:r>
          </w:p>
        </w:tc>
        <w:tc>
          <w:tcPr>
            <w:tcW w:w="3600" w:type="dxa"/>
            <w:tcBorders>
              <w:bottom w:val="single" w:sz="4" w:space="0" w:color="8EAADB" w:themeColor="accent5" w:themeTint="99"/>
            </w:tcBorders>
            <w:shd w:val="clear" w:color="auto" w:fill="FFFFFF" w:themeFill="background1"/>
          </w:tcPr>
          <w:p w14:paraId="7D026265" w14:textId="2460E82F" w:rsidR="00AB57CC" w:rsidRPr="00D03490"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03490">
              <w:rPr>
                <w:rFonts w:asciiTheme="minorHAnsi" w:hAnsiTheme="minorHAnsi" w:cstheme="minorHAnsi"/>
                <w:sz w:val="24"/>
                <w:szCs w:val="24"/>
              </w:rPr>
              <w:t xml:space="preserve">Provide technical assistance and/or funding for site assessment, pre- planning, project design, and compliance/permitting to local access site development partners. </w:t>
            </w:r>
          </w:p>
        </w:tc>
        <w:tc>
          <w:tcPr>
            <w:tcW w:w="4500" w:type="dxa"/>
            <w:tcBorders>
              <w:bottom w:val="single" w:sz="4" w:space="0" w:color="8EAADB" w:themeColor="accent5" w:themeTint="99"/>
            </w:tcBorders>
            <w:shd w:val="clear" w:color="auto" w:fill="FFFFFF" w:themeFill="background1"/>
          </w:tcPr>
          <w:p w14:paraId="5F85A7EA" w14:textId="6296DED2" w:rsidR="00AB57CC" w:rsidRPr="00D03490"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 xml:space="preserve">Within resource limitations, federal and state staff </w:t>
            </w:r>
            <w:proofErr w:type="gramStart"/>
            <w:r>
              <w:rPr>
                <w:rFonts w:ascii="Calibri" w:hAnsi="Calibri" w:cs="Calibri"/>
                <w:color w:val="000000"/>
              </w:rPr>
              <w:t>provide assistance to</w:t>
            </w:r>
            <w:proofErr w:type="gramEnd"/>
            <w:r>
              <w:rPr>
                <w:rFonts w:ascii="Calibri" w:hAnsi="Calibri" w:cs="Calibri"/>
                <w:color w:val="000000"/>
              </w:rPr>
              <w:t xml:space="preserve"> local partners when opportunities are identified.</w:t>
            </w:r>
          </w:p>
        </w:tc>
        <w:tc>
          <w:tcPr>
            <w:tcW w:w="1890" w:type="dxa"/>
            <w:tcBorders>
              <w:bottom w:val="single" w:sz="4" w:space="0" w:color="8EAADB" w:themeColor="accent5" w:themeTint="99"/>
            </w:tcBorders>
            <w:shd w:val="clear" w:color="auto" w:fill="FFFFFF" w:themeFill="background1"/>
          </w:tcPr>
          <w:p w14:paraId="25879327" w14:textId="154AB03B" w:rsidR="00AB57CC" w:rsidRPr="00D03490"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All state and federal partners that are involved with the Public Access workgroup</w:t>
            </w:r>
          </w:p>
        </w:tc>
        <w:tc>
          <w:tcPr>
            <w:tcW w:w="1620" w:type="dxa"/>
            <w:tcBorders>
              <w:bottom w:val="single" w:sz="4" w:space="0" w:color="8EAADB" w:themeColor="accent5" w:themeTint="99"/>
            </w:tcBorders>
            <w:shd w:val="clear" w:color="auto" w:fill="FFFFFF" w:themeFill="background1"/>
          </w:tcPr>
          <w:p w14:paraId="5D24FC28" w14:textId="7D863B11" w:rsidR="00AB57CC" w:rsidRPr="00D03490"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Watershed</w:t>
            </w:r>
          </w:p>
        </w:tc>
        <w:tc>
          <w:tcPr>
            <w:tcW w:w="1669" w:type="dxa"/>
            <w:tcBorders>
              <w:bottom w:val="single" w:sz="4" w:space="0" w:color="8EAADB" w:themeColor="accent5" w:themeTint="99"/>
            </w:tcBorders>
            <w:shd w:val="clear" w:color="auto" w:fill="FFFFFF" w:themeFill="background1"/>
          </w:tcPr>
          <w:p w14:paraId="6EEA8530" w14:textId="13E739E7" w:rsidR="00AB57CC" w:rsidRPr="00D03490"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2022 - 2023</w:t>
            </w:r>
          </w:p>
        </w:tc>
      </w:tr>
      <w:tr w:rsidR="00AB57CC" w:rsidRPr="00FF2E44" w14:paraId="5F1F2532" w14:textId="77777777" w:rsidTr="003446C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7AAEF1B6" w14:textId="0C87CEE2" w:rsidR="00AB57CC" w:rsidRPr="00D03490" w:rsidRDefault="00AB57CC" w:rsidP="00AB57CC">
            <w:pPr>
              <w:rPr>
                <w:rFonts w:asciiTheme="minorHAnsi" w:hAnsiTheme="minorHAnsi" w:cstheme="minorHAnsi"/>
                <w:sz w:val="24"/>
                <w:szCs w:val="24"/>
              </w:rPr>
            </w:pPr>
            <w:r w:rsidRPr="00D03490">
              <w:rPr>
                <w:rFonts w:asciiTheme="minorHAnsi" w:hAnsiTheme="minorHAnsi" w:cstheme="minorHAnsi"/>
                <w:sz w:val="24"/>
                <w:szCs w:val="24"/>
              </w:rPr>
              <w:t>4.2</w:t>
            </w:r>
          </w:p>
        </w:tc>
        <w:tc>
          <w:tcPr>
            <w:tcW w:w="3600" w:type="dxa"/>
            <w:tcBorders>
              <w:bottom w:val="single" w:sz="4" w:space="0" w:color="8EAADB" w:themeColor="accent5" w:themeTint="99"/>
            </w:tcBorders>
            <w:shd w:val="clear" w:color="auto" w:fill="FFFFFF" w:themeFill="background1"/>
          </w:tcPr>
          <w:p w14:paraId="247BBEDE" w14:textId="7700CBB3" w:rsidR="00AB57CC" w:rsidRPr="00D03490"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021C2">
              <w:rPr>
                <w:rFonts w:asciiTheme="minorHAnsi" w:hAnsiTheme="minorHAnsi" w:cstheme="minorHAnsi"/>
                <w:sz w:val="24"/>
                <w:szCs w:val="24"/>
              </w:rPr>
              <w:t xml:space="preserve">As a part of ongoing planning and update cycles, agency partners evaluate the potential of additional public access opportunities on lands under their control. When master plans or resource management plans are updated, the potential for increased public access will be evaluated and included in the new plans as appropriate. Planning is contingent on scheduled review cycles as well as on staff availability, resources, and funding. </w:t>
            </w:r>
          </w:p>
        </w:tc>
        <w:tc>
          <w:tcPr>
            <w:tcW w:w="4500" w:type="dxa"/>
            <w:tcBorders>
              <w:bottom w:val="single" w:sz="4" w:space="0" w:color="8EAADB" w:themeColor="accent5" w:themeTint="99"/>
            </w:tcBorders>
            <w:shd w:val="clear" w:color="auto" w:fill="FFFFFF" w:themeFill="background1"/>
          </w:tcPr>
          <w:p w14:paraId="3A5605EB" w14:textId="2F0E28F8" w:rsidR="00AB57CC" w:rsidRPr="00D03490"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 xml:space="preserve">Incorporation of new public access sites in any new, </w:t>
            </w:r>
            <w:proofErr w:type="gramStart"/>
            <w:r>
              <w:rPr>
                <w:rFonts w:ascii="Calibri" w:hAnsi="Calibri" w:cs="Calibri"/>
                <w:color w:val="000000"/>
              </w:rPr>
              <w:t>revised</w:t>
            </w:r>
            <w:proofErr w:type="gramEnd"/>
            <w:r>
              <w:rPr>
                <w:rFonts w:ascii="Calibri" w:hAnsi="Calibri" w:cs="Calibri"/>
                <w:color w:val="000000"/>
              </w:rPr>
              <w:t xml:space="preserve"> or updated master plan as appropriate. This could be particularly beneficial on sites that already have infrastructure and in-place management that could incorporate new types of access.</w:t>
            </w:r>
          </w:p>
        </w:tc>
        <w:tc>
          <w:tcPr>
            <w:tcW w:w="1890" w:type="dxa"/>
            <w:tcBorders>
              <w:bottom w:val="single" w:sz="4" w:space="0" w:color="8EAADB" w:themeColor="accent5" w:themeTint="99"/>
            </w:tcBorders>
            <w:shd w:val="clear" w:color="auto" w:fill="FFFFFF" w:themeFill="background1"/>
          </w:tcPr>
          <w:p w14:paraId="112DD5DA" w14:textId="4D468A22" w:rsidR="00AB57CC" w:rsidRPr="00D03490"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All federal and state land managers with suitable properties in the watershed.</w:t>
            </w:r>
          </w:p>
        </w:tc>
        <w:tc>
          <w:tcPr>
            <w:tcW w:w="1620" w:type="dxa"/>
            <w:tcBorders>
              <w:bottom w:val="single" w:sz="4" w:space="0" w:color="8EAADB" w:themeColor="accent5" w:themeTint="99"/>
            </w:tcBorders>
            <w:shd w:val="clear" w:color="auto" w:fill="FFFFFF" w:themeFill="background1"/>
          </w:tcPr>
          <w:p w14:paraId="2671B8A1" w14:textId="262E249A" w:rsidR="00AB57CC" w:rsidRPr="00D03490"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Watershed</w:t>
            </w:r>
          </w:p>
        </w:tc>
        <w:tc>
          <w:tcPr>
            <w:tcW w:w="1669" w:type="dxa"/>
            <w:tcBorders>
              <w:bottom w:val="single" w:sz="4" w:space="0" w:color="8EAADB" w:themeColor="accent5" w:themeTint="99"/>
            </w:tcBorders>
            <w:shd w:val="clear" w:color="auto" w:fill="FFFFFF" w:themeFill="background1"/>
          </w:tcPr>
          <w:p w14:paraId="73C4C74F" w14:textId="03959D53" w:rsidR="00AB57CC" w:rsidRPr="00D03490"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2022 - 2023</w:t>
            </w:r>
          </w:p>
        </w:tc>
      </w:tr>
      <w:tr w:rsidR="00AB57CC" w:rsidRPr="00FF2E44" w14:paraId="5166B5AA" w14:textId="77777777" w:rsidTr="003446CF">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173AB747" w14:textId="3CD64645" w:rsidR="00AB57CC" w:rsidRPr="00D03490" w:rsidRDefault="00AB57CC" w:rsidP="00AB57CC">
            <w:pPr>
              <w:rPr>
                <w:rFonts w:asciiTheme="minorHAnsi" w:hAnsiTheme="minorHAnsi" w:cstheme="minorHAnsi"/>
                <w:sz w:val="24"/>
                <w:szCs w:val="24"/>
              </w:rPr>
            </w:pPr>
            <w:r w:rsidRPr="00D03490">
              <w:rPr>
                <w:rFonts w:asciiTheme="minorHAnsi" w:hAnsiTheme="minorHAnsi" w:cstheme="minorHAnsi"/>
                <w:sz w:val="24"/>
                <w:szCs w:val="24"/>
              </w:rPr>
              <w:lastRenderedPageBreak/>
              <w:t>4.3</w:t>
            </w:r>
          </w:p>
        </w:tc>
        <w:tc>
          <w:tcPr>
            <w:tcW w:w="3600" w:type="dxa"/>
            <w:tcBorders>
              <w:bottom w:val="single" w:sz="4" w:space="0" w:color="8EAADB" w:themeColor="accent5" w:themeTint="99"/>
            </w:tcBorders>
            <w:shd w:val="clear" w:color="auto" w:fill="FFFFFF" w:themeFill="background1"/>
          </w:tcPr>
          <w:p w14:paraId="4295EA79" w14:textId="1876087F" w:rsidR="00AB57CC" w:rsidRPr="00A87534"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87534">
              <w:rPr>
                <w:rFonts w:asciiTheme="minorHAnsi" w:hAnsiTheme="minorHAnsi" w:cstheme="minorHAnsi"/>
                <w:sz w:val="24"/>
                <w:szCs w:val="24"/>
              </w:rPr>
              <w:t xml:space="preserve">Encourage incorporation of recommendations from state SCORPs into local and regional recreation plans. </w:t>
            </w:r>
          </w:p>
        </w:tc>
        <w:tc>
          <w:tcPr>
            <w:tcW w:w="4500" w:type="dxa"/>
            <w:tcBorders>
              <w:bottom w:val="single" w:sz="4" w:space="0" w:color="8EAADB" w:themeColor="accent5" w:themeTint="99"/>
            </w:tcBorders>
            <w:shd w:val="clear" w:color="auto" w:fill="FFFFFF" w:themeFill="background1"/>
          </w:tcPr>
          <w:p w14:paraId="0C50E8F8" w14:textId="5BE05D25" w:rsidR="00AB57CC" w:rsidRPr="00A87534"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87534">
              <w:rPr>
                <w:rFonts w:asciiTheme="minorHAnsi" w:hAnsiTheme="minorHAnsi" w:cstheme="minorHAnsi"/>
                <w:sz w:val="24"/>
                <w:szCs w:val="24"/>
              </w:rPr>
              <w:t>State agencies will continue to provide information and data to local and regional governments for use in their planning processes.</w:t>
            </w:r>
          </w:p>
        </w:tc>
        <w:tc>
          <w:tcPr>
            <w:tcW w:w="1890" w:type="dxa"/>
            <w:tcBorders>
              <w:bottom w:val="single" w:sz="4" w:space="0" w:color="8EAADB" w:themeColor="accent5" w:themeTint="99"/>
            </w:tcBorders>
            <w:shd w:val="clear" w:color="auto" w:fill="FFFFFF" w:themeFill="background1"/>
          </w:tcPr>
          <w:p w14:paraId="170630BD" w14:textId="49623686" w:rsidR="00AB57CC" w:rsidRPr="00A87534"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87534">
              <w:rPr>
                <w:rFonts w:asciiTheme="minorHAnsi" w:hAnsiTheme="minorHAnsi" w:cstheme="minorHAnsi"/>
                <w:sz w:val="24"/>
                <w:szCs w:val="24"/>
              </w:rPr>
              <w:t>State agencies will continue to provide information and data to local and regional governments for use in their planning processes.</w:t>
            </w:r>
          </w:p>
        </w:tc>
        <w:tc>
          <w:tcPr>
            <w:tcW w:w="1620" w:type="dxa"/>
            <w:tcBorders>
              <w:bottom w:val="single" w:sz="4" w:space="0" w:color="8EAADB" w:themeColor="accent5" w:themeTint="99"/>
            </w:tcBorders>
            <w:shd w:val="clear" w:color="auto" w:fill="FFFFFF" w:themeFill="background1"/>
          </w:tcPr>
          <w:p w14:paraId="63887071" w14:textId="49D03584" w:rsidR="00AB57CC" w:rsidRPr="00A87534"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Watershed</w:t>
            </w:r>
          </w:p>
        </w:tc>
        <w:tc>
          <w:tcPr>
            <w:tcW w:w="1669" w:type="dxa"/>
            <w:tcBorders>
              <w:bottom w:val="single" w:sz="4" w:space="0" w:color="8EAADB" w:themeColor="accent5" w:themeTint="99"/>
            </w:tcBorders>
            <w:shd w:val="clear" w:color="auto" w:fill="FFFFFF" w:themeFill="background1"/>
          </w:tcPr>
          <w:p w14:paraId="044E7838" w14:textId="4C7C06BC" w:rsidR="00AB57CC" w:rsidRPr="00A87534"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2022 - 2023</w:t>
            </w:r>
          </w:p>
        </w:tc>
      </w:tr>
      <w:tr w:rsidR="00AB57CC" w:rsidRPr="00FF2E44" w14:paraId="00585A25" w14:textId="77777777" w:rsidTr="003446C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6F603BC4" w14:textId="5DF3CEC8" w:rsidR="00AB57CC" w:rsidRPr="00D03490" w:rsidRDefault="00AB57CC" w:rsidP="00AB57CC">
            <w:pPr>
              <w:rPr>
                <w:rFonts w:asciiTheme="minorHAnsi" w:hAnsiTheme="minorHAnsi" w:cstheme="minorHAnsi"/>
                <w:sz w:val="24"/>
                <w:szCs w:val="24"/>
              </w:rPr>
            </w:pPr>
            <w:r w:rsidRPr="00D03490">
              <w:rPr>
                <w:rFonts w:asciiTheme="minorHAnsi" w:hAnsiTheme="minorHAnsi" w:cstheme="minorHAnsi"/>
                <w:sz w:val="24"/>
                <w:szCs w:val="24"/>
              </w:rPr>
              <w:t>4.4</w:t>
            </w:r>
          </w:p>
        </w:tc>
        <w:tc>
          <w:tcPr>
            <w:tcW w:w="3600" w:type="dxa"/>
            <w:tcBorders>
              <w:bottom w:val="single" w:sz="4" w:space="0" w:color="8EAADB" w:themeColor="accent5" w:themeTint="99"/>
            </w:tcBorders>
            <w:shd w:val="clear" w:color="auto" w:fill="FFFFFF" w:themeFill="background1"/>
          </w:tcPr>
          <w:p w14:paraId="2ACD7D91" w14:textId="77777777" w:rsidR="00AB57CC"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E0B2C">
              <w:rPr>
                <w:rFonts w:asciiTheme="minorHAnsi" w:hAnsiTheme="minorHAnsi" w:cstheme="minorHAnsi"/>
                <w:sz w:val="24"/>
                <w:szCs w:val="24"/>
              </w:rPr>
              <w:t xml:space="preserve">Federal and state government personnel with expertise in sustainable and resilient designs for public access sites should offer technical assistance to NGOs and local governments. </w:t>
            </w:r>
          </w:p>
          <w:p w14:paraId="59E1C869" w14:textId="504CBBCD" w:rsidR="0095371E" w:rsidRPr="00D03490" w:rsidRDefault="0095371E"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4500" w:type="dxa"/>
            <w:tcBorders>
              <w:bottom w:val="single" w:sz="4" w:space="0" w:color="8EAADB" w:themeColor="accent5" w:themeTint="99"/>
            </w:tcBorders>
            <w:shd w:val="clear" w:color="auto" w:fill="FFFFFF" w:themeFill="background1"/>
          </w:tcPr>
          <w:p w14:paraId="45D247E0" w14:textId="69C23FA4" w:rsidR="00AB57CC" w:rsidRPr="00D03490"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Incorporation of sustainable practices and climate resiliency when designing or implementing new or enhanced access sites. Incorporate appropriate public access site development in conjunction with projects addressing climate change.</w:t>
            </w:r>
          </w:p>
        </w:tc>
        <w:tc>
          <w:tcPr>
            <w:tcW w:w="1890" w:type="dxa"/>
            <w:tcBorders>
              <w:bottom w:val="single" w:sz="4" w:space="0" w:color="8EAADB" w:themeColor="accent5" w:themeTint="99"/>
            </w:tcBorders>
            <w:shd w:val="clear" w:color="auto" w:fill="FFFFFF" w:themeFill="background1"/>
          </w:tcPr>
          <w:p w14:paraId="2F1C2D26" w14:textId="54E0CCA4" w:rsidR="00AB57CC" w:rsidRPr="00D03490"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Federal and state agencies offer technical assistance as resources allow.</w:t>
            </w:r>
          </w:p>
        </w:tc>
        <w:tc>
          <w:tcPr>
            <w:tcW w:w="1620" w:type="dxa"/>
            <w:tcBorders>
              <w:bottom w:val="single" w:sz="4" w:space="0" w:color="8EAADB" w:themeColor="accent5" w:themeTint="99"/>
            </w:tcBorders>
            <w:shd w:val="clear" w:color="auto" w:fill="FFFFFF" w:themeFill="background1"/>
          </w:tcPr>
          <w:p w14:paraId="66FCDD4C" w14:textId="4F178479" w:rsidR="00AB57CC" w:rsidRPr="00D03490"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Watershed</w:t>
            </w:r>
          </w:p>
        </w:tc>
        <w:tc>
          <w:tcPr>
            <w:tcW w:w="1669" w:type="dxa"/>
            <w:tcBorders>
              <w:bottom w:val="single" w:sz="4" w:space="0" w:color="8EAADB" w:themeColor="accent5" w:themeTint="99"/>
            </w:tcBorders>
            <w:shd w:val="clear" w:color="auto" w:fill="FFFFFF" w:themeFill="background1"/>
          </w:tcPr>
          <w:p w14:paraId="0DC2AC4A" w14:textId="67C08F02" w:rsidR="00AB57CC" w:rsidRPr="00D03490" w:rsidRDefault="00AB57CC" w:rsidP="00AB57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Calibri" w:hAnsi="Calibri" w:cs="Calibri"/>
                <w:color w:val="000000"/>
              </w:rPr>
              <w:t>2022 - 2023</w:t>
            </w:r>
          </w:p>
        </w:tc>
      </w:tr>
      <w:tr w:rsidR="00AB57CC" w:rsidRPr="00FF2E44" w14:paraId="77E96D5C" w14:textId="77777777" w:rsidTr="003446CF">
        <w:trPr>
          <w:trHeight w:val="293"/>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4472C4" w:themeColor="accent5"/>
            </w:tcBorders>
            <w:shd w:val="clear" w:color="auto" w:fill="4472C4" w:themeFill="accent5"/>
          </w:tcPr>
          <w:p w14:paraId="58E6C92B" w14:textId="77777777" w:rsidR="00AB57CC" w:rsidRPr="00FF2E44" w:rsidRDefault="00AB57CC" w:rsidP="00AB57CC">
            <w:pPr>
              <w:rPr>
                <w:rFonts w:asciiTheme="minorHAnsi" w:hAnsiTheme="minorHAnsi" w:cstheme="minorHAnsi"/>
                <w:sz w:val="24"/>
                <w:szCs w:val="24"/>
              </w:rPr>
            </w:pPr>
          </w:p>
        </w:tc>
        <w:tc>
          <w:tcPr>
            <w:tcW w:w="13279" w:type="dxa"/>
            <w:gridSpan w:val="5"/>
            <w:tcBorders>
              <w:left w:val="single" w:sz="4" w:space="0" w:color="4472C4" w:themeColor="accent5"/>
            </w:tcBorders>
            <w:shd w:val="clear" w:color="auto" w:fill="4472C4" w:themeFill="accent5"/>
          </w:tcPr>
          <w:p w14:paraId="28C064D8" w14:textId="77777777" w:rsidR="00AB57CC" w:rsidRPr="00FF2E44" w:rsidRDefault="00AB57CC" w:rsidP="00AB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bookmarkStart w:id="6" w:name="_Management_Approach_5:"/>
            <w:bookmarkEnd w:id="6"/>
          </w:p>
        </w:tc>
      </w:tr>
    </w:tbl>
    <w:p w14:paraId="511559C8" w14:textId="77777777" w:rsidR="00947AB3" w:rsidRPr="00876541" w:rsidRDefault="00947AB3" w:rsidP="00947AB3"/>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11"/>
      <w:headerReference w:type="first" r:id="rId12"/>
      <w:footerReference w:type="first" r:id="rId13"/>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7C39" w14:textId="77777777" w:rsidR="009944AD" w:rsidRDefault="009944AD" w:rsidP="00671242">
      <w:pPr>
        <w:spacing w:after="0" w:line="240" w:lineRule="auto"/>
      </w:pPr>
      <w:r>
        <w:separator/>
      </w:r>
    </w:p>
  </w:endnote>
  <w:endnote w:type="continuationSeparator" w:id="0">
    <w:p w14:paraId="78BAB35D" w14:textId="77777777" w:rsidR="009944AD" w:rsidRDefault="009944AD"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DB41" w14:textId="47290D4A" w:rsidR="00940F2A" w:rsidRDefault="00FC2318" w:rsidP="00FC2318">
    <w:pPr>
      <w:pStyle w:val="Footer"/>
      <w:jc w:val="right"/>
    </w:pPr>
    <w:r>
      <w:t xml:space="preserve">Updated </w:t>
    </w:r>
    <w:r>
      <w:fldChar w:fldCharType="begin"/>
    </w:r>
    <w:r>
      <w:instrText xml:space="preserve"> DATE \@ "MMMM d, yyyy" </w:instrText>
    </w:r>
    <w:r>
      <w:fldChar w:fldCharType="separate"/>
    </w:r>
    <w:r w:rsidR="000D76B3">
      <w:rPr>
        <w:noProof/>
      </w:rPr>
      <w:t>April 19, 2022</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D76DD1">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76DD1">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80B4" w14:textId="12E0D953" w:rsidR="00FC7D91" w:rsidRDefault="00FC7D91" w:rsidP="00FC7D91">
    <w:pPr>
      <w:pStyle w:val="Footer"/>
      <w:jc w:val="right"/>
    </w:pPr>
    <w:r>
      <w:t xml:space="preserve">Updated </w:t>
    </w:r>
    <w:r>
      <w:fldChar w:fldCharType="begin"/>
    </w:r>
    <w:r>
      <w:instrText xml:space="preserve"> DATE \@ "MMMM d, yyyy" </w:instrText>
    </w:r>
    <w:r>
      <w:fldChar w:fldCharType="separate"/>
    </w:r>
    <w:r w:rsidR="000D76B3">
      <w:rPr>
        <w:noProof/>
      </w:rPr>
      <w:t>April 19, 2022</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D76DD1">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76DD1">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91DA" w14:textId="77777777" w:rsidR="009944AD" w:rsidRDefault="009944AD" w:rsidP="00671242">
      <w:pPr>
        <w:spacing w:after="0" w:line="240" w:lineRule="auto"/>
      </w:pPr>
      <w:r>
        <w:separator/>
      </w:r>
    </w:p>
  </w:footnote>
  <w:footnote w:type="continuationSeparator" w:id="0">
    <w:p w14:paraId="33D987D3" w14:textId="77777777" w:rsidR="009944AD" w:rsidRDefault="009944AD"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C2A9" w14:textId="0F835A77" w:rsidR="00940F2A" w:rsidRDefault="00947AB3"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40F2A" w:rsidRDefault="00940F2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" fillcolor="#13314b" stroked="f" strokeweight="1pt">
              <v:textbox>
                <w:txbxContent>
                  <w:p w14:paraId="18589208" w14:textId="7E2A7433" w:rsidR="00940F2A" w:rsidRDefault="00940F2A" w:rsidP="00B3624A"/>
                </w:txbxContent>
              </v:textbox>
              <w10:wrap anchorx="page"/>
            </v:rect>
          </w:pict>
        </mc:Fallback>
      </mc:AlternateContent>
    </w:r>
    <w:r w:rsidR="00940F2A">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940F2A" w:rsidRDefault="00940F2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B241B"/>
    <w:multiLevelType w:val="hybridMultilevel"/>
    <w:tmpl w:val="85323B56"/>
    <w:lvl w:ilvl="0" w:tplc="A99C693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983286">
    <w:abstractNumId w:val="21"/>
  </w:num>
  <w:num w:numId="2" w16cid:durableId="96413404">
    <w:abstractNumId w:val="6"/>
  </w:num>
  <w:num w:numId="3" w16cid:durableId="795565818">
    <w:abstractNumId w:val="16"/>
  </w:num>
  <w:num w:numId="4" w16cid:durableId="682318715">
    <w:abstractNumId w:val="8"/>
  </w:num>
  <w:num w:numId="5" w16cid:durableId="586114894">
    <w:abstractNumId w:val="24"/>
  </w:num>
  <w:num w:numId="6" w16cid:durableId="1328364749">
    <w:abstractNumId w:val="22"/>
  </w:num>
  <w:num w:numId="7" w16cid:durableId="769666162">
    <w:abstractNumId w:val="1"/>
  </w:num>
  <w:num w:numId="8" w16cid:durableId="100031194">
    <w:abstractNumId w:val="14"/>
  </w:num>
  <w:num w:numId="9" w16cid:durableId="2111578733">
    <w:abstractNumId w:val="0"/>
  </w:num>
  <w:num w:numId="10" w16cid:durableId="291861562">
    <w:abstractNumId w:val="18"/>
  </w:num>
  <w:num w:numId="11" w16cid:durableId="2041934568">
    <w:abstractNumId w:val="5"/>
  </w:num>
  <w:num w:numId="12" w16cid:durableId="1577931695">
    <w:abstractNumId w:val="23"/>
  </w:num>
  <w:num w:numId="13" w16cid:durableId="1901669785">
    <w:abstractNumId w:val="11"/>
  </w:num>
  <w:num w:numId="14" w16cid:durableId="1377195387">
    <w:abstractNumId w:val="10"/>
  </w:num>
  <w:num w:numId="15" w16cid:durableId="961838580">
    <w:abstractNumId w:val="20"/>
  </w:num>
  <w:num w:numId="16" w16cid:durableId="634482816">
    <w:abstractNumId w:val="15"/>
  </w:num>
  <w:num w:numId="17" w16cid:durableId="1875772287">
    <w:abstractNumId w:val="17"/>
  </w:num>
  <w:num w:numId="18" w16cid:durableId="1864782276">
    <w:abstractNumId w:val="2"/>
  </w:num>
  <w:num w:numId="19" w16cid:durableId="1865747167">
    <w:abstractNumId w:val="12"/>
  </w:num>
  <w:num w:numId="20" w16cid:durableId="2062905007">
    <w:abstractNumId w:val="13"/>
  </w:num>
  <w:num w:numId="21" w16cid:durableId="552231953">
    <w:abstractNumId w:val="7"/>
  </w:num>
  <w:num w:numId="22" w16cid:durableId="609973057">
    <w:abstractNumId w:val="3"/>
  </w:num>
  <w:num w:numId="23" w16cid:durableId="1540631146">
    <w:abstractNumId w:val="19"/>
  </w:num>
  <w:num w:numId="24" w16cid:durableId="348215861">
    <w:abstractNumId w:val="9"/>
  </w:num>
  <w:num w:numId="25" w16cid:durableId="312029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14FE1"/>
    <w:rsid w:val="00024F26"/>
    <w:rsid w:val="00034A1E"/>
    <w:rsid w:val="000416E8"/>
    <w:rsid w:val="00041DC9"/>
    <w:rsid w:val="00044700"/>
    <w:rsid w:val="00046FB2"/>
    <w:rsid w:val="00056F3B"/>
    <w:rsid w:val="00075463"/>
    <w:rsid w:val="000777B7"/>
    <w:rsid w:val="000838F9"/>
    <w:rsid w:val="00085090"/>
    <w:rsid w:val="00085832"/>
    <w:rsid w:val="00097E49"/>
    <w:rsid w:val="000A52AA"/>
    <w:rsid w:val="000B0207"/>
    <w:rsid w:val="000B3CA0"/>
    <w:rsid w:val="000B4BDE"/>
    <w:rsid w:val="000C151E"/>
    <w:rsid w:val="000D6A88"/>
    <w:rsid w:val="000D76B3"/>
    <w:rsid w:val="000F61C0"/>
    <w:rsid w:val="00104C47"/>
    <w:rsid w:val="00110296"/>
    <w:rsid w:val="00147E3B"/>
    <w:rsid w:val="00150D7A"/>
    <w:rsid w:val="00150E1C"/>
    <w:rsid w:val="0015130F"/>
    <w:rsid w:val="00154003"/>
    <w:rsid w:val="0015450E"/>
    <w:rsid w:val="0016176D"/>
    <w:rsid w:val="001834DA"/>
    <w:rsid w:val="001A012A"/>
    <w:rsid w:val="001A33A1"/>
    <w:rsid w:val="001B0E46"/>
    <w:rsid w:val="001B5A93"/>
    <w:rsid w:val="001C3A10"/>
    <w:rsid w:val="001C4ABA"/>
    <w:rsid w:val="001D7896"/>
    <w:rsid w:val="001E2A66"/>
    <w:rsid w:val="001E2CDE"/>
    <w:rsid w:val="001F0FA2"/>
    <w:rsid w:val="00201AA3"/>
    <w:rsid w:val="00206D30"/>
    <w:rsid w:val="00225F65"/>
    <w:rsid w:val="0022675D"/>
    <w:rsid w:val="00233ED5"/>
    <w:rsid w:val="00260A99"/>
    <w:rsid w:val="00270729"/>
    <w:rsid w:val="0027504A"/>
    <w:rsid w:val="00297C27"/>
    <w:rsid w:val="002A2CD0"/>
    <w:rsid w:val="002B1BCB"/>
    <w:rsid w:val="002B4AA8"/>
    <w:rsid w:val="002B7423"/>
    <w:rsid w:val="002D2705"/>
    <w:rsid w:val="002D618D"/>
    <w:rsid w:val="002E79C6"/>
    <w:rsid w:val="002F0906"/>
    <w:rsid w:val="002F384A"/>
    <w:rsid w:val="00303EF2"/>
    <w:rsid w:val="003100FB"/>
    <w:rsid w:val="003406BB"/>
    <w:rsid w:val="0034463A"/>
    <w:rsid w:val="003446CF"/>
    <w:rsid w:val="00352792"/>
    <w:rsid w:val="00357524"/>
    <w:rsid w:val="00366886"/>
    <w:rsid w:val="00376246"/>
    <w:rsid w:val="00380EE5"/>
    <w:rsid w:val="00385B3D"/>
    <w:rsid w:val="003933EC"/>
    <w:rsid w:val="003978EB"/>
    <w:rsid w:val="003C398C"/>
    <w:rsid w:val="003F0FC7"/>
    <w:rsid w:val="003F276A"/>
    <w:rsid w:val="003F3F26"/>
    <w:rsid w:val="00400A24"/>
    <w:rsid w:val="004159EC"/>
    <w:rsid w:val="00420690"/>
    <w:rsid w:val="004206DA"/>
    <w:rsid w:val="00426A42"/>
    <w:rsid w:val="00441EA6"/>
    <w:rsid w:val="004460D2"/>
    <w:rsid w:val="00472ED6"/>
    <w:rsid w:val="004752D6"/>
    <w:rsid w:val="004906A0"/>
    <w:rsid w:val="00493CDD"/>
    <w:rsid w:val="0049427B"/>
    <w:rsid w:val="0049663A"/>
    <w:rsid w:val="004A2285"/>
    <w:rsid w:val="004B4BFC"/>
    <w:rsid w:val="004B7974"/>
    <w:rsid w:val="004C57F6"/>
    <w:rsid w:val="004E65FF"/>
    <w:rsid w:val="004F2BEE"/>
    <w:rsid w:val="00503CB0"/>
    <w:rsid w:val="00511201"/>
    <w:rsid w:val="005112C4"/>
    <w:rsid w:val="00515B73"/>
    <w:rsid w:val="00517C4E"/>
    <w:rsid w:val="00517C70"/>
    <w:rsid w:val="00531EB3"/>
    <w:rsid w:val="00542863"/>
    <w:rsid w:val="00544AE5"/>
    <w:rsid w:val="0055303C"/>
    <w:rsid w:val="00574DD4"/>
    <w:rsid w:val="00583612"/>
    <w:rsid w:val="005845E3"/>
    <w:rsid w:val="005A2020"/>
    <w:rsid w:val="005A4000"/>
    <w:rsid w:val="005A63BA"/>
    <w:rsid w:val="005B0CD9"/>
    <w:rsid w:val="005C00D3"/>
    <w:rsid w:val="005C2C39"/>
    <w:rsid w:val="005C3C8A"/>
    <w:rsid w:val="005C4792"/>
    <w:rsid w:val="005D2879"/>
    <w:rsid w:val="005E0B0C"/>
    <w:rsid w:val="005E19D9"/>
    <w:rsid w:val="005F7918"/>
    <w:rsid w:val="0061252E"/>
    <w:rsid w:val="006135C0"/>
    <w:rsid w:val="00615573"/>
    <w:rsid w:val="00640E76"/>
    <w:rsid w:val="006425F5"/>
    <w:rsid w:val="00643B59"/>
    <w:rsid w:val="006452CA"/>
    <w:rsid w:val="00646C5D"/>
    <w:rsid w:val="006700A4"/>
    <w:rsid w:val="00671242"/>
    <w:rsid w:val="00680EB0"/>
    <w:rsid w:val="00681EA2"/>
    <w:rsid w:val="006A6BDC"/>
    <w:rsid w:val="006B10D0"/>
    <w:rsid w:val="006B3CFA"/>
    <w:rsid w:val="006B43D9"/>
    <w:rsid w:val="006B6F6F"/>
    <w:rsid w:val="006D6E63"/>
    <w:rsid w:val="006E0906"/>
    <w:rsid w:val="00713561"/>
    <w:rsid w:val="00751CF6"/>
    <w:rsid w:val="00763DD2"/>
    <w:rsid w:val="0079376F"/>
    <w:rsid w:val="007942F0"/>
    <w:rsid w:val="007A4A62"/>
    <w:rsid w:val="007B0492"/>
    <w:rsid w:val="007B76CB"/>
    <w:rsid w:val="007C156E"/>
    <w:rsid w:val="007C6283"/>
    <w:rsid w:val="007D0225"/>
    <w:rsid w:val="007D5A9C"/>
    <w:rsid w:val="007E0B2C"/>
    <w:rsid w:val="007E6A41"/>
    <w:rsid w:val="007F3FB6"/>
    <w:rsid w:val="00800481"/>
    <w:rsid w:val="008055F4"/>
    <w:rsid w:val="00810712"/>
    <w:rsid w:val="00813AC4"/>
    <w:rsid w:val="00813D02"/>
    <w:rsid w:val="00816C4D"/>
    <w:rsid w:val="008232E8"/>
    <w:rsid w:val="00835F13"/>
    <w:rsid w:val="00865888"/>
    <w:rsid w:val="0086597A"/>
    <w:rsid w:val="0086724B"/>
    <w:rsid w:val="00892EB4"/>
    <w:rsid w:val="008A58F8"/>
    <w:rsid w:val="008A6EDE"/>
    <w:rsid w:val="008A7FEA"/>
    <w:rsid w:val="008B3DBE"/>
    <w:rsid w:val="008B49C1"/>
    <w:rsid w:val="00901648"/>
    <w:rsid w:val="0090338D"/>
    <w:rsid w:val="00907924"/>
    <w:rsid w:val="00911401"/>
    <w:rsid w:val="00920554"/>
    <w:rsid w:val="00921128"/>
    <w:rsid w:val="009350A4"/>
    <w:rsid w:val="00940F2A"/>
    <w:rsid w:val="0094563C"/>
    <w:rsid w:val="00947AB3"/>
    <w:rsid w:val="0095371E"/>
    <w:rsid w:val="00957F63"/>
    <w:rsid w:val="00967FD0"/>
    <w:rsid w:val="00982951"/>
    <w:rsid w:val="00984375"/>
    <w:rsid w:val="00986F1D"/>
    <w:rsid w:val="0098737C"/>
    <w:rsid w:val="009913D5"/>
    <w:rsid w:val="009924DD"/>
    <w:rsid w:val="009944AD"/>
    <w:rsid w:val="009B6B7A"/>
    <w:rsid w:val="009C647B"/>
    <w:rsid w:val="009D05AD"/>
    <w:rsid w:val="009E13C2"/>
    <w:rsid w:val="009E2024"/>
    <w:rsid w:val="009E294A"/>
    <w:rsid w:val="009F49BD"/>
    <w:rsid w:val="009F5939"/>
    <w:rsid w:val="00A021C2"/>
    <w:rsid w:val="00A033B2"/>
    <w:rsid w:val="00A16E99"/>
    <w:rsid w:val="00A23EA1"/>
    <w:rsid w:val="00A2492B"/>
    <w:rsid w:val="00A308CC"/>
    <w:rsid w:val="00A33FB1"/>
    <w:rsid w:val="00A3717C"/>
    <w:rsid w:val="00A40BFA"/>
    <w:rsid w:val="00A46AF6"/>
    <w:rsid w:val="00A7078B"/>
    <w:rsid w:val="00A7100A"/>
    <w:rsid w:val="00A71A21"/>
    <w:rsid w:val="00A86BFF"/>
    <w:rsid w:val="00A86C09"/>
    <w:rsid w:val="00A87534"/>
    <w:rsid w:val="00A90A9D"/>
    <w:rsid w:val="00A9142D"/>
    <w:rsid w:val="00A94FDA"/>
    <w:rsid w:val="00A96556"/>
    <w:rsid w:val="00AA21CD"/>
    <w:rsid w:val="00AA58C8"/>
    <w:rsid w:val="00AA6177"/>
    <w:rsid w:val="00AA6977"/>
    <w:rsid w:val="00AB57CC"/>
    <w:rsid w:val="00AC64AA"/>
    <w:rsid w:val="00AD0553"/>
    <w:rsid w:val="00AD61A4"/>
    <w:rsid w:val="00AD79AF"/>
    <w:rsid w:val="00AD7B76"/>
    <w:rsid w:val="00AE282B"/>
    <w:rsid w:val="00AF2ED8"/>
    <w:rsid w:val="00AF398E"/>
    <w:rsid w:val="00AF5302"/>
    <w:rsid w:val="00B02D99"/>
    <w:rsid w:val="00B036A7"/>
    <w:rsid w:val="00B15704"/>
    <w:rsid w:val="00B1592C"/>
    <w:rsid w:val="00B24956"/>
    <w:rsid w:val="00B3624A"/>
    <w:rsid w:val="00B46E6A"/>
    <w:rsid w:val="00B52296"/>
    <w:rsid w:val="00B53161"/>
    <w:rsid w:val="00B628B3"/>
    <w:rsid w:val="00B674B2"/>
    <w:rsid w:val="00B75F20"/>
    <w:rsid w:val="00B8673C"/>
    <w:rsid w:val="00B97444"/>
    <w:rsid w:val="00BA358F"/>
    <w:rsid w:val="00BA3AF4"/>
    <w:rsid w:val="00BB4814"/>
    <w:rsid w:val="00BD7AC8"/>
    <w:rsid w:val="00BF0E68"/>
    <w:rsid w:val="00C34A90"/>
    <w:rsid w:val="00C41C0F"/>
    <w:rsid w:val="00C52EEE"/>
    <w:rsid w:val="00C82138"/>
    <w:rsid w:val="00C957B1"/>
    <w:rsid w:val="00C960E7"/>
    <w:rsid w:val="00C9790E"/>
    <w:rsid w:val="00CA3888"/>
    <w:rsid w:val="00CB1D17"/>
    <w:rsid w:val="00CB6B02"/>
    <w:rsid w:val="00CD18AD"/>
    <w:rsid w:val="00CD7FBD"/>
    <w:rsid w:val="00CE36CD"/>
    <w:rsid w:val="00CF3C26"/>
    <w:rsid w:val="00CF3E1F"/>
    <w:rsid w:val="00D03490"/>
    <w:rsid w:val="00D05A46"/>
    <w:rsid w:val="00D06117"/>
    <w:rsid w:val="00D14AFA"/>
    <w:rsid w:val="00D17674"/>
    <w:rsid w:val="00D3062D"/>
    <w:rsid w:val="00D30F6E"/>
    <w:rsid w:val="00D619C5"/>
    <w:rsid w:val="00D76DD1"/>
    <w:rsid w:val="00DA7487"/>
    <w:rsid w:val="00DC0062"/>
    <w:rsid w:val="00DC35FF"/>
    <w:rsid w:val="00DD7191"/>
    <w:rsid w:val="00DE03E0"/>
    <w:rsid w:val="00DE7260"/>
    <w:rsid w:val="00E01484"/>
    <w:rsid w:val="00E03628"/>
    <w:rsid w:val="00E06F45"/>
    <w:rsid w:val="00E11F37"/>
    <w:rsid w:val="00E15D9B"/>
    <w:rsid w:val="00E34B0C"/>
    <w:rsid w:val="00E35F81"/>
    <w:rsid w:val="00E41DBC"/>
    <w:rsid w:val="00E8115C"/>
    <w:rsid w:val="00E82B20"/>
    <w:rsid w:val="00E97118"/>
    <w:rsid w:val="00EA05B4"/>
    <w:rsid w:val="00EB546C"/>
    <w:rsid w:val="00EB5DF8"/>
    <w:rsid w:val="00EC6FD8"/>
    <w:rsid w:val="00ED1FC7"/>
    <w:rsid w:val="00ED221A"/>
    <w:rsid w:val="00ED57BF"/>
    <w:rsid w:val="00EF49D4"/>
    <w:rsid w:val="00F1145A"/>
    <w:rsid w:val="00F15248"/>
    <w:rsid w:val="00F15E9B"/>
    <w:rsid w:val="00F16197"/>
    <w:rsid w:val="00F20553"/>
    <w:rsid w:val="00F2272B"/>
    <w:rsid w:val="00F25D9D"/>
    <w:rsid w:val="00F27D2D"/>
    <w:rsid w:val="00F340B0"/>
    <w:rsid w:val="00F40E1B"/>
    <w:rsid w:val="00F47A7A"/>
    <w:rsid w:val="00F51883"/>
    <w:rsid w:val="00F624CA"/>
    <w:rsid w:val="00F71F18"/>
    <w:rsid w:val="00F8705D"/>
    <w:rsid w:val="00F87F3D"/>
    <w:rsid w:val="00F9417D"/>
    <w:rsid w:val="00FB2817"/>
    <w:rsid w:val="00FC1E9B"/>
    <w:rsid w:val="00FC2318"/>
    <w:rsid w:val="00FC7D91"/>
    <w:rsid w:val="00FF2E44"/>
    <w:rsid w:val="00FF66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299502070">
      <w:bodyDiv w:val="1"/>
      <w:marLeft w:val="0"/>
      <w:marRight w:val="0"/>
      <w:marTop w:val="0"/>
      <w:marBottom w:val="0"/>
      <w:divBdr>
        <w:top w:val="none" w:sz="0" w:space="0" w:color="auto"/>
        <w:left w:val="none" w:sz="0" w:space="0" w:color="auto"/>
        <w:bottom w:val="none" w:sz="0" w:space="0" w:color="auto"/>
        <w:right w:val="none" w:sz="0" w:space="0" w:color="auto"/>
      </w:divBdr>
      <w:divsChild>
        <w:div w:id="943533957">
          <w:marLeft w:val="-108"/>
          <w:marRight w:val="0"/>
          <w:marTop w:val="0"/>
          <w:marBottom w:val="0"/>
          <w:divBdr>
            <w:top w:val="none" w:sz="0" w:space="0" w:color="auto"/>
            <w:left w:val="none" w:sz="0" w:space="0" w:color="auto"/>
            <w:bottom w:val="none" w:sz="0" w:space="0" w:color="auto"/>
            <w:right w:val="none" w:sz="0" w:space="0" w:color="auto"/>
          </w:divBdr>
        </w:div>
      </w:divsChild>
    </w:div>
    <w:div w:id="543754636">
      <w:bodyDiv w:val="1"/>
      <w:marLeft w:val="0"/>
      <w:marRight w:val="0"/>
      <w:marTop w:val="0"/>
      <w:marBottom w:val="0"/>
      <w:divBdr>
        <w:top w:val="none" w:sz="0" w:space="0" w:color="auto"/>
        <w:left w:val="none" w:sz="0" w:space="0" w:color="auto"/>
        <w:bottom w:val="none" w:sz="0" w:space="0" w:color="auto"/>
        <w:right w:val="none" w:sz="0" w:space="0" w:color="auto"/>
      </w:divBdr>
    </w:div>
    <w:div w:id="2049068034">
      <w:bodyDiv w:val="1"/>
      <w:marLeft w:val="0"/>
      <w:marRight w:val="0"/>
      <w:marTop w:val="0"/>
      <w:marBottom w:val="0"/>
      <w:divBdr>
        <w:top w:val="none" w:sz="0" w:space="0" w:color="auto"/>
        <w:left w:val="none" w:sz="0" w:space="0" w:color="auto"/>
        <w:bottom w:val="none" w:sz="0" w:space="0" w:color="auto"/>
        <w:right w:val="none" w:sz="0" w:space="0" w:color="auto"/>
      </w:divBdr>
      <w:divsChild>
        <w:div w:id="44250489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6" ma:contentTypeDescription="Create a new document." ma:contentTypeScope="" ma:versionID="6d82724057ffff212b5d644296407d29">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a52d5938892eeeab804e6979f8a8f987"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64357-7209-4FD1-A65F-82D37ACE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0C3F0-93A3-4ABB-B720-1C5C3B82CB53}">
  <ds:schemaRefs>
    <ds:schemaRef ds:uri="http://schemas.microsoft.com/sharepoint/v3/contenttype/forms"/>
  </ds:schemaRefs>
</ds:datastoreItem>
</file>

<file path=customXml/itemProps3.xml><?xml version="1.0" encoding="utf-8"?>
<ds:datastoreItem xmlns:ds="http://schemas.openxmlformats.org/officeDocument/2006/customXml" ds:itemID="{AF5802BC-6DED-4773-A9E5-494DEED3AD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B70614-F702-4BE5-B960-8EB90434C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Olivia Wisner</cp:lastModifiedBy>
  <cp:revision>2</cp:revision>
  <cp:lastPrinted>2019-03-11T15:04:00Z</cp:lastPrinted>
  <dcterms:created xsi:type="dcterms:W3CDTF">2022-04-19T18:46:00Z</dcterms:created>
  <dcterms:modified xsi:type="dcterms:W3CDTF">2022-04-19T18:46:00Z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