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A5A73" w14:textId="3EC41299" w:rsidR="002512F4" w:rsidRPr="004D7EF8" w:rsidRDefault="00D9363B" w:rsidP="002512F4">
      <w:pPr>
        <w:spacing w:after="0" w:line="240" w:lineRule="auto"/>
        <w:rPr>
          <w:rFonts w:cstheme="minorHAnsi"/>
          <w:bCs/>
          <w:sz w:val="28"/>
          <w:szCs w:val="28"/>
        </w:rPr>
      </w:pPr>
      <w:r w:rsidRPr="004D7EF8">
        <w:rPr>
          <w:rFonts w:cstheme="minorHAnsi"/>
          <w:bCs/>
          <w:i/>
          <w:iCs/>
          <w:sz w:val="28"/>
          <w:szCs w:val="28"/>
        </w:rPr>
        <w:t xml:space="preserve">DRAFT </w:t>
      </w:r>
      <w:r w:rsidR="00BE671D" w:rsidRPr="004D7EF8">
        <w:rPr>
          <w:rFonts w:cstheme="minorHAnsi"/>
          <w:bCs/>
          <w:sz w:val="28"/>
          <w:szCs w:val="28"/>
        </w:rPr>
        <w:t>Proposed</w:t>
      </w:r>
      <w:r w:rsidR="002512F4" w:rsidRPr="004D7EF8">
        <w:rPr>
          <w:rFonts w:cstheme="minorHAnsi"/>
          <w:bCs/>
          <w:sz w:val="28"/>
          <w:szCs w:val="28"/>
        </w:rPr>
        <w:t xml:space="preserve"> Practice Life and Credit Duration for Forestry BMPs</w:t>
      </w:r>
    </w:p>
    <w:p w14:paraId="6F69CED9" w14:textId="0CBCA933" w:rsidR="00D62BC6" w:rsidRPr="004D7EF8" w:rsidRDefault="002512F4" w:rsidP="002512F4">
      <w:pPr>
        <w:spacing w:after="0" w:line="240" w:lineRule="auto"/>
        <w:rPr>
          <w:rFonts w:cstheme="minorHAnsi"/>
          <w:color w:val="000000"/>
          <w:sz w:val="28"/>
          <w:szCs w:val="28"/>
        </w:rPr>
      </w:pPr>
      <w:r w:rsidRPr="004D7EF8">
        <w:rPr>
          <w:rFonts w:cstheme="minorHAnsi"/>
          <w:bCs/>
          <w:sz w:val="28"/>
          <w:szCs w:val="28"/>
        </w:rPr>
        <w:t>in the Chesapeake Bay Model</w:t>
      </w:r>
    </w:p>
    <w:p w14:paraId="7FF2E985" w14:textId="24F58296" w:rsidR="002F5580" w:rsidRPr="004D7EF8" w:rsidRDefault="002F5580" w:rsidP="00D62BC6">
      <w:pPr>
        <w:spacing w:after="0" w:line="240" w:lineRule="auto"/>
        <w:rPr>
          <w:rFonts w:cstheme="minorHAnsi"/>
          <w:color w:val="000000"/>
        </w:rPr>
      </w:pPr>
    </w:p>
    <w:p w14:paraId="799F844A" w14:textId="583DDE73" w:rsidR="002F5580" w:rsidRPr="004D7EF8" w:rsidRDefault="002F5580" w:rsidP="00D62BC6">
      <w:pPr>
        <w:spacing w:after="0" w:line="240" w:lineRule="auto"/>
        <w:rPr>
          <w:rFonts w:cstheme="minorHAnsi"/>
          <w:color w:val="000000"/>
          <w:u w:val="single"/>
        </w:rPr>
      </w:pPr>
      <w:r w:rsidRPr="004D7EF8">
        <w:rPr>
          <w:rFonts w:cstheme="minorHAnsi"/>
          <w:color w:val="000000"/>
          <w:u w:val="single"/>
        </w:rPr>
        <w:t>Definitions</w:t>
      </w:r>
    </w:p>
    <w:p w14:paraId="0455E651" w14:textId="34F8166A" w:rsidR="002F5580" w:rsidRPr="004D7EF8" w:rsidRDefault="002F5580" w:rsidP="002F5580">
      <w:pPr>
        <w:spacing w:after="0" w:line="240" w:lineRule="auto"/>
        <w:ind w:left="1440" w:hanging="1440"/>
        <w:rPr>
          <w:rFonts w:cstheme="minorHAnsi"/>
          <w:bCs/>
        </w:rPr>
      </w:pPr>
      <w:r w:rsidRPr="004D7EF8">
        <w:rPr>
          <w:rFonts w:cstheme="minorHAnsi"/>
          <w:b/>
          <w:bCs/>
        </w:rPr>
        <w:t>Practice Life--</w:t>
      </w:r>
      <w:r w:rsidRPr="004D7EF8">
        <w:rPr>
          <w:rFonts w:cstheme="minorHAnsi"/>
          <w:b/>
          <w:bCs/>
        </w:rPr>
        <w:tab/>
      </w:r>
      <w:r w:rsidRPr="004D7EF8">
        <w:rPr>
          <w:rFonts w:cstheme="minorHAnsi"/>
          <w:bCs/>
        </w:rPr>
        <w:t>The length of time a practice is expected to persist.  This is primarily used to analyze annual</w:t>
      </w:r>
      <w:r w:rsidR="009821A3">
        <w:rPr>
          <w:rFonts w:cstheme="minorHAnsi"/>
          <w:bCs/>
        </w:rPr>
        <w:t>ized</w:t>
      </w:r>
      <w:r w:rsidRPr="004D7EF8">
        <w:rPr>
          <w:rFonts w:cstheme="minorHAnsi"/>
          <w:bCs/>
        </w:rPr>
        <w:t xml:space="preserve"> cost-benefit.  The longer the practice life, the lower the cost of establishment/year as the cost is more spread out.</w:t>
      </w:r>
    </w:p>
    <w:p w14:paraId="6E71535E" w14:textId="3A9521A7" w:rsidR="002F5580" w:rsidRPr="004D7EF8" w:rsidRDefault="002F5580" w:rsidP="002F5580">
      <w:pPr>
        <w:spacing w:after="0" w:line="240" w:lineRule="auto"/>
        <w:ind w:left="1440" w:hanging="1440"/>
        <w:rPr>
          <w:rFonts w:cstheme="minorHAnsi"/>
          <w:bCs/>
        </w:rPr>
      </w:pPr>
      <w:r w:rsidRPr="004D7EF8">
        <w:rPr>
          <w:rFonts w:cstheme="minorHAnsi"/>
          <w:b/>
        </w:rPr>
        <w:t>Credit Duration</w:t>
      </w:r>
      <w:r w:rsidR="00C25DAC" w:rsidRPr="004D7EF8">
        <w:rPr>
          <w:rFonts w:cstheme="minorHAnsi"/>
          <w:b/>
        </w:rPr>
        <w:t>-</w:t>
      </w:r>
      <w:r w:rsidRPr="004D7EF8">
        <w:rPr>
          <w:rFonts w:cstheme="minorHAnsi"/>
          <w:bCs/>
        </w:rPr>
        <w:t xml:space="preserve">- The length of time a practice can be credited in the model </w:t>
      </w:r>
      <w:r w:rsidR="009821A3">
        <w:rPr>
          <w:rFonts w:cstheme="minorHAnsi"/>
          <w:bCs/>
        </w:rPr>
        <w:t xml:space="preserve">(CAST) </w:t>
      </w:r>
      <w:r w:rsidRPr="004D7EF8">
        <w:rPr>
          <w:rFonts w:cstheme="minorHAnsi"/>
          <w:bCs/>
        </w:rPr>
        <w:t xml:space="preserve">before it needs to be verified.  This is </w:t>
      </w:r>
      <w:r w:rsidR="0002608E" w:rsidRPr="004D7EF8">
        <w:rPr>
          <w:rFonts w:cstheme="minorHAnsi"/>
          <w:bCs/>
        </w:rPr>
        <w:t>important for planning and administering work to assure the validity of CAST.</w:t>
      </w:r>
    </w:p>
    <w:p w14:paraId="23B59AF3" w14:textId="1C57242E" w:rsidR="00C25DAC" w:rsidRPr="004D7EF8" w:rsidRDefault="00C25DAC" w:rsidP="002F5580">
      <w:pPr>
        <w:spacing w:after="0" w:line="240" w:lineRule="auto"/>
        <w:ind w:left="1440" w:hanging="1440"/>
        <w:rPr>
          <w:rFonts w:cstheme="minorHAnsi"/>
          <w:bCs/>
        </w:rPr>
      </w:pPr>
      <w:r w:rsidRPr="004D7EF8">
        <w:rPr>
          <w:rFonts w:cstheme="minorHAnsi"/>
          <w:b/>
        </w:rPr>
        <w:t>Back Out</w:t>
      </w:r>
      <w:r w:rsidRPr="004D7EF8">
        <w:rPr>
          <w:rFonts w:cstheme="minorHAnsi"/>
          <w:bCs/>
        </w:rPr>
        <w:t xml:space="preserve">--  </w:t>
      </w:r>
      <w:r w:rsidR="00A557CE">
        <w:rPr>
          <w:rFonts w:cstheme="minorHAnsi"/>
          <w:bCs/>
        </w:rPr>
        <w:t xml:space="preserve">  </w:t>
      </w:r>
      <w:r w:rsidR="00123DB0">
        <w:rPr>
          <w:rFonts w:cstheme="minorHAnsi"/>
          <w:bCs/>
        </w:rPr>
        <w:t>A process by which</w:t>
      </w:r>
      <w:r w:rsidR="0002608E" w:rsidRPr="004D7EF8">
        <w:rPr>
          <w:rFonts w:cstheme="minorHAnsi"/>
          <w:bCs/>
        </w:rPr>
        <w:t>, after a prescribed amount of time,</w:t>
      </w:r>
      <w:r w:rsidRPr="004D7EF8">
        <w:rPr>
          <w:rFonts w:cstheme="minorHAnsi"/>
          <w:bCs/>
        </w:rPr>
        <w:t xml:space="preserve"> the CB Land Use model incorporates a </w:t>
      </w:r>
      <w:r w:rsidR="00A557CE">
        <w:rPr>
          <w:rFonts w:cstheme="minorHAnsi"/>
          <w:bCs/>
        </w:rPr>
        <w:t>land conversion BMP</w:t>
      </w:r>
      <w:r w:rsidRPr="004D7EF8">
        <w:rPr>
          <w:rFonts w:cstheme="minorHAnsi"/>
          <w:bCs/>
        </w:rPr>
        <w:t xml:space="preserve"> and that practice is taken off NEIEN </w:t>
      </w:r>
      <w:r w:rsidR="0002608E" w:rsidRPr="004D7EF8">
        <w:rPr>
          <w:rFonts w:cstheme="minorHAnsi"/>
          <w:bCs/>
        </w:rPr>
        <w:t>at that time.</w:t>
      </w:r>
    </w:p>
    <w:p w14:paraId="588BC01C" w14:textId="77777777" w:rsidR="002F5580" w:rsidRPr="004D7EF8" w:rsidRDefault="002F5580" w:rsidP="00D62BC6">
      <w:pPr>
        <w:spacing w:after="0" w:line="240" w:lineRule="auto"/>
        <w:rPr>
          <w:rFonts w:cstheme="minorHAnsi"/>
          <w:color w:val="000000"/>
        </w:rPr>
      </w:pPr>
    </w:p>
    <w:p w14:paraId="05BB2305" w14:textId="77777777" w:rsidR="002F5580" w:rsidRPr="004D7EF8" w:rsidRDefault="002F5580" w:rsidP="00D62BC6">
      <w:pPr>
        <w:spacing w:after="0" w:line="240" w:lineRule="auto"/>
        <w:rPr>
          <w:rFonts w:cstheme="minorHAnsi"/>
          <w:color w:val="000000"/>
        </w:rPr>
      </w:pPr>
    </w:p>
    <w:p w14:paraId="2488B807" w14:textId="75724C14" w:rsidR="00BE671D" w:rsidRPr="004D7EF8" w:rsidRDefault="00B25C77" w:rsidP="00D62BC6">
      <w:pPr>
        <w:spacing w:after="0" w:line="240" w:lineRule="auto"/>
        <w:rPr>
          <w:rFonts w:cstheme="minorHAnsi"/>
          <w:color w:val="000000"/>
          <w:sz w:val="24"/>
          <w:szCs w:val="24"/>
          <w:u w:val="single"/>
        </w:rPr>
      </w:pPr>
      <w:r w:rsidRPr="004D7EF8">
        <w:rPr>
          <w:rFonts w:cstheme="minorHAnsi"/>
          <w:color w:val="000000"/>
          <w:sz w:val="24"/>
          <w:szCs w:val="24"/>
          <w:u w:val="single"/>
        </w:rPr>
        <w:t xml:space="preserve">Forest </w:t>
      </w:r>
      <w:r w:rsidR="00C25DAC" w:rsidRPr="004D7EF8">
        <w:rPr>
          <w:rFonts w:cstheme="minorHAnsi"/>
          <w:color w:val="000000"/>
          <w:sz w:val="24"/>
          <w:szCs w:val="24"/>
          <w:u w:val="single"/>
        </w:rPr>
        <w:t>and</w:t>
      </w:r>
      <w:r w:rsidRPr="004D7EF8">
        <w:rPr>
          <w:rFonts w:cstheme="minorHAnsi"/>
          <w:color w:val="000000"/>
          <w:sz w:val="24"/>
          <w:szCs w:val="24"/>
          <w:u w:val="single"/>
        </w:rPr>
        <w:t xml:space="preserve"> Tree Establishment</w:t>
      </w:r>
    </w:p>
    <w:p w14:paraId="19CA815D" w14:textId="77777777" w:rsidR="00BE671D" w:rsidRPr="004D7EF8" w:rsidRDefault="00BE671D" w:rsidP="00D62BC6">
      <w:pPr>
        <w:spacing w:after="0" w:line="240" w:lineRule="auto"/>
        <w:rPr>
          <w:rFonts w:cstheme="minorHAnsi"/>
          <w:color w:val="000000"/>
        </w:rPr>
      </w:pPr>
    </w:p>
    <w:p w14:paraId="62F5FD8C" w14:textId="5F384AAE" w:rsidR="00253C6D" w:rsidRPr="004D7EF8" w:rsidRDefault="006E43EE" w:rsidP="00D62BC6">
      <w:pPr>
        <w:spacing w:after="0" w:line="240" w:lineRule="auto"/>
        <w:rPr>
          <w:rFonts w:cstheme="minorHAnsi"/>
          <w:color w:val="000000"/>
        </w:rPr>
      </w:pPr>
      <w:r w:rsidRPr="004D7EF8">
        <w:rPr>
          <w:rFonts w:cstheme="minorHAnsi"/>
          <w:color w:val="000000"/>
        </w:rPr>
        <w:t>Once established, forests can grow indefinitely</w:t>
      </w:r>
      <w:r w:rsidR="002F5580" w:rsidRPr="004D7EF8">
        <w:rPr>
          <w:rFonts w:cstheme="minorHAnsi"/>
          <w:color w:val="000000"/>
        </w:rPr>
        <w:t xml:space="preserve"> with little maintenance-- even in the event of a natural disaster</w:t>
      </w:r>
      <w:r w:rsidR="002F170B" w:rsidRPr="004D7EF8">
        <w:rPr>
          <w:rFonts w:cstheme="minorHAnsi"/>
          <w:color w:val="000000"/>
        </w:rPr>
        <w:t xml:space="preserve"> (flooding, ice storms, etc</w:t>
      </w:r>
      <w:r w:rsidR="00B25C77" w:rsidRPr="004D7EF8">
        <w:rPr>
          <w:rFonts w:cstheme="minorHAnsi"/>
          <w:color w:val="000000"/>
        </w:rPr>
        <w:t>.</w:t>
      </w:r>
      <w:r w:rsidR="002F170B" w:rsidRPr="004D7EF8">
        <w:rPr>
          <w:rFonts w:cstheme="minorHAnsi"/>
          <w:color w:val="000000"/>
        </w:rPr>
        <w:t>) --</w:t>
      </w:r>
      <w:r w:rsidR="002F5580" w:rsidRPr="004D7EF8">
        <w:rPr>
          <w:rFonts w:cstheme="minorHAnsi"/>
          <w:color w:val="000000"/>
        </w:rPr>
        <w:t xml:space="preserve"> as they are the natural land cover for this region.  </w:t>
      </w:r>
      <w:r w:rsidR="006F2D26">
        <w:rPr>
          <w:rFonts w:cstheme="minorHAnsi"/>
          <w:color w:val="000000"/>
        </w:rPr>
        <w:t>Some practices</w:t>
      </w:r>
      <w:r w:rsidRPr="004D7EF8">
        <w:rPr>
          <w:rFonts w:cstheme="minorHAnsi"/>
          <w:color w:val="000000"/>
        </w:rPr>
        <w:t xml:space="preserve"> have a </w:t>
      </w:r>
      <w:r w:rsidR="006F2D26">
        <w:rPr>
          <w:rFonts w:cstheme="minorHAnsi"/>
          <w:color w:val="000000"/>
        </w:rPr>
        <w:t xml:space="preserve">consistently </w:t>
      </w:r>
      <w:r w:rsidRPr="004D7EF8">
        <w:rPr>
          <w:rFonts w:cstheme="minorHAnsi"/>
          <w:color w:val="000000"/>
        </w:rPr>
        <w:t xml:space="preserve">higher standard of </w:t>
      </w:r>
      <w:r w:rsidR="00253C6D" w:rsidRPr="004D7EF8">
        <w:rPr>
          <w:rFonts w:cstheme="minorHAnsi"/>
          <w:color w:val="000000"/>
        </w:rPr>
        <w:t xml:space="preserve">planning, </w:t>
      </w:r>
      <w:r w:rsidRPr="004D7EF8">
        <w:rPr>
          <w:rFonts w:cstheme="minorHAnsi"/>
          <w:color w:val="000000"/>
        </w:rPr>
        <w:t>implementation, maintenance, and regeneration</w:t>
      </w:r>
      <w:r w:rsidR="00253C6D" w:rsidRPr="004D7EF8">
        <w:rPr>
          <w:rFonts w:cstheme="minorHAnsi"/>
          <w:color w:val="000000"/>
        </w:rPr>
        <w:t xml:space="preserve"> (n</w:t>
      </w:r>
      <w:r w:rsidR="002F5580" w:rsidRPr="004D7EF8">
        <w:rPr>
          <w:rFonts w:cstheme="minorHAnsi"/>
          <w:color w:val="000000"/>
        </w:rPr>
        <w:t>atural regeneration can be part of forest plantings per Verification protocol</w:t>
      </w:r>
      <w:r w:rsidR="00253C6D" w:rsidRPr="004D7EF8">
        <w:rPr>
          <w:rFonts w:cstheme="minorHAnsi"/>
          <w:color w:val="000000"/>
        </w:rPr>
        <w:t>)</w:t>
      </w:r>
      <w:r w:rsidR="002F5580" w:rsidRPr="004D7EF8">
        <w:rPr>
          <w:rFonts w:cstheme="minorHAnsi"/>
          <w:color w:val="000000"/>
        </w:rPr>
        <w:t>.</w:t>
      </w:r>
    </w:p>
    <w:p w14:paraId="6260ADC9" w14:textId="08D1910C" w:rsidR="006E43EE" w:rsidRPr="004D7EF8" w:rsidRDefault="006E43EE" w:rsidP="00D62BC6">
      <w:pPr>
        <w:spacing w:after="0" w:line="240" w:lineRule="auto"/>
        <w:rPr>
          <w:rFonts w:cstheme="minorHAnsi"/>
          <w:color w:val="000000"/>
        </w:rPr>
      </w:pPr>
    </w:p>
    <w:p w14:paraId="6AB63F0A" w14:textId="0DDD1699" w:rsidR="00BE671D" w:rsidRPr="004D7EF8" w:rsidRDefault="00F64838" w:rsidP="00D62BC6">
      <w:pPr>
        <w:spacing w:after="0" w:line="240" w:lineRule="auto"/>
        <w:rPr>
          <w:rFonts w:cstheme="minorHAnsi"/>
          <w:color w:val="000000"/>
        </w:rPr>
      </w:pPr>
      <w:r w:rsidRPr="004D7EF8">
        <w:rPr>
          <w:rFonts w:cstheme="minorHAnsi"/>
          <w:color w:val="000000"/>
        </w:rPr>
        <w:t xml:space="preserve">Both forest and tree </w:t>
      </w:r>
      <w:r w:rsidR="00BE671D" w:rsidRPr="004D7EF8">
        <w:rPr>
          <w:rFonts w:cstheme="minorHAnsi"/>
          <w:color w:val="000000"/>
        </w:rPr>
        <w:t xml:space="preserve">planting survival </w:t>
      </w:r>
      <w:r w:rsidR="00615F93" w:rsidRPr="004D7EF8">
        <w:rPr>
          <w:rFonts w:cstheme="minorHAnsi"/>
          <w:color w:val="000000"/>
        </w:rPr>
        <w:t>depend</w:t>
      </w:r>
      <w:r w:rsidR="00BE671D" w:rsidRPr="004D7EF8">
        <w:rPr>
          <w:rFonts w:cstheme="minorHAnsi"/>
          <w:color w:val="000000"/>
        </w:rPr>
        <w:t xml:space="preserve"> on site characteristics, quality of planting stock, species selected for planting, </w:t>
      </w:r>
      <w:r w:rsidR="00530D02" w:rsidRPr="004D7EF8">
        <w:rPr>
          <w:rFonts w:cstheme="minorHAnsi"/>
          <w:color w:val="000000"/>
        </w:rPr>
        <w:t xml:space="preserve">early maintenance, and </w:t>
      </w:r>
      <w:r w:rsidR="00BE671D" w:rsidRPr="004D7EF8">
        <w:rPr>
          <w:rFonts w:cstheme="minorHAnsi"/>
          <w:color w:val="000000"/>
        </w:rPr>
        <w:t>weather</w:t>
      </w:r>
      <w:r w:rsidR="00530D02" w:rsidRPr="004D7EF8">
        <w:rPr>
          <w:rFonts w:cstheme="minorHAnsi"/>
          <w:color w:val="000000"/>
        </w:rPr>
        <w:t>.  The primary reason that the practice life for trees</w:t>
      </w:r>
      <w:r w:rsidRPr="004D7EF8">
        <w:rPr>
          <w:rFonts w:cstheme="minorHAnsi"/>
          <w:color w:val="000000"/>
        </w:rPr>
        <w:t>/forests</w:t>
      </w:r>
      <w:r w:rsidR="00530D02" w:rsidRPr="004D7EF8">
        <w:rPr>
          <w:rFonts w:cstheme="minorHAnsi"/>
          <w:color w:val="000000"/>
        </w:rPr>
        <w:t xml:space="preserve"> is not indefinite, is </w:t>
      </w:r>
      <w:r w:rsidRPr="004D7EF8">
        <w:rPr>
          <w:rFonts w:cstheme="minorHAnsi"/>
          <w:color w:val="000000"/>
        </w:rPr>
        <w:t>due to</w:t>
      </w:r>
      <w:r w:rsidR="00530D02" w:rsidRPr="004D7EF8">
        <w:rPr>
          <w:rFonts w:cstheme="minorHAnsi"/>
          <w:color w:val="000000"/>
        </w:rPr>
        <w:t xml:space="preserve"> changes in site management</w:t>
      </w:r>
      <w:r w:rsidRPr="004D7EF8">
        <w:rPr>
          <w:rFonts w:cstheme="minorHAnsi"/>
          <w:color w:val="000000"/>
        </w:rPr>
        <w:t xml:space="preserve"> – something that is true for all practices.  </w:t>
      </w:r>
      <w:r w:rsidR="00B25C77" w:rsidRPr="004D7EF8">
        <w:rPr>
          <w:rFonts w:cstheme="minorHAnsi"/>
          <w:color w:val="000000"/>
        </w:rPr>
        <w:t xml:space="preserve">As information on good planting </w:t>
      </w:r>
      <w:r w:rsidR="00615F93">
        <w:rPr>
          <w:rFonts w:cstheme="minorHAnsi"/>
          <w:color w:val="000000"/>
        </w:rPr>
        <w:t>practices</w:t>
      </w:r>
      <w:r w:rsidR="00B25C77" w:rsidRPr="004D7EF8">
        <w:rPr>
          <w:rFonts w:cstheme="minorHAnsi"/>
          <w:color w:val="000000"/>
        </w:rPr>
        <w:t xml:space="preserve"> and “right tree, right place” is shared and heeded, the practice life </w:t>
      </w:r>
      <w:r w:rsidR="00615F93">
        <w:rPr>
          <w:rFonts w:cstheme="minorHAnsi"/>
          <w:color w:val="000000"/>
        </w:rPr>
        <w:t>will continue</w:t>
      </w:r>
      <w:r w:rsidR="00B25C77" w:rsidRPr="004D7EF8">
        <w:rPr>
          <w:rFonts w:cstheme="minorHAnsi"/>
          <w:color w:val="000000"/>
        </w:rPr>
        <w:t xml:space="preserve"> to be extended.  </w:t>
      </w:r>
      <w:r w:rsidR="00BE671D" w:rsidRPr="004D7EF8">
        <w:rPr>
          <w:rFonts w:cstheme="minorHAnsi"/>
          <w:color w:val="000000"/>
        </w:rPr>
        <w:t>Most</w:t>
      </w:r>
      <w:r w:rsidR="00253C6D" w:rsidRPr="004D7EF8">
        <w:rPr>
          <w:rFonts w:cstheme="minorHAnsi"/>
          <w:color w:val="000000"/>
        </w:rPr>
        <w:t xml:space="preserve"> urban</w:t>
      </w:r>
      <w:r w:rsidR="00BE671D" w:rsidRPr="004D7EF8">
        <w:rPr>
          <w:rFonts w:cstheme="minorHAnsi"/>
          <w:color w:val="000000"/>
        </w:rPr>
        <w:t xml:space="preserve"> tree planting occurs </w:t>
      </w:r>
      <w:r w:rsidRPr="004D7EF8">
        <w:rPr>
          <w:rFonts w:cstheme="minorHAnsi"/>
          <w:color w:val="000000"/>
        </w:rPr>
        <w:t>on</w:t>
      </w:r>
      <w:r w:rsidR="00BE671D" w:rsidRPr="004D7EF8">
        <w:rPr>
          <w:rFonts w:cstheme="minorHAnsi"/>
          <w:color w:val="000000"/>
        </w:rPr>
        <w:t xml:space="preserve"> lawns and community </w:t>
      </w:r>
      <w:r w:rsidR="00615F93" w:rsidRPr="004D7EF8">
        <w:rPr>
          <w:rFonts w:cstheme="minorHAnsi"/>
          <w:color w:val="000000"/>
        </w:rPr>
        <w:t>space,</w:t>
      </w:r>
      <w:r w:rsidR="00BE671D" w:rsidRPr="004D7EF8">
        <w:rPr>
          <w:rFonts w:cstheme="minorHAnsi"/>
          <w:color w:val="000000"/>
        </w:rPr>
        <w:t xml:space="preserve"> less often along streets</w:t>
      </w:r>
      <w:r w:rsidR="00253C6D" w:rsidRPr="004D7EF8">
        <w:rPr>
          <w:rFonts w:cstheme="minorHAnsi"/>
          <w:color w:val="000000"/>
        </w:rPr>
        <w:t>.  Less is known about the life span of these “lawn” plantings</w:t>
      </w:r>
      <w:r w:rsidR="00BE671D" w:rsidRPr="004D7EF8">
        <w:rPr>
          <w:rFonts w:cstheme="minorHAnsi"/>
          <w:color w:val="000000"/>
        </w:rPr>
        <w:t xml:space="preserve">.  </w:t>
      </w:r>
    </w:p>
    <w:p w14:paraId="3EA76C64" w14:textId="417A7872" w:rsidR="00F20100" w:rsidRPr="004D7EF8" w:rsidRDefault="00932DA7" w:rsidP="002F771E">
      <w:pPr>
        <w:spacing w:after="0" w:line="240" w:lineRule="auto"/>
        <w:rPr>
          <w:rFonts w:cstheme="minorHAnsi"/>
          <w:color w:val="000000"/>
        </w:rPr>
      </w:pPr>
      <w:r w:rsidRPr="004D7EF8">
        <w:rPr>
          <w:rFonts w:cstheme="minorHAnsi"/>
          <w:color w:val="000000"/>
        </w:rPr>
        <w:t xml:space="preserve"> </w:t>
      </w:r>
    </w:p>
    <w:p w14:paraId="3B646B3C" w14:textId="17DA433C" w:rsidR="00740350" w:rsidRPr="004D7EF8" w:rsidRDefault="00740350" w:rsidP="00740350">
      <w:pPr>
        <w:spacing w:after="0" w:line="240" w:lineRule="auto"/>
        <w:rPr>
          <w:rFonts w:cstheme="minorHAnsi"/>
          <w:color w:val="000000"/>
          <w:sz w:val="24"/>
          <w:szCs w:val="24"/>
          <w:u w:val="single"/>
        </w:rPr>
      </w:pPr>
      <w:r>
        <w:rPr>
          <w:rFonts w:cstheme="minorHAnsi"/>
          <w:color w:val="000000"/>
          <w:sz w:val="24"/>
          <w:szCs w:val="24"/>
          <w:u w:val="single"/>
        </w:rPr>
        <w:t>Basis for</w:t>
      </w:r>
      <w:r w:rsidR="007A6E8E">
        <w:rPr>
          <w:rFonts w:cstheme="minorHAnsi"/>
          <w:color w:val="000000"/>
          <w:sz w:val="24"/>
          <w:szCs w:val="24"/>
          <w:u w:val="single"/>
        </w:rPr>
        <w:t xml:space="preserve"> Extending</w:t>
      </w:r>
      <w:r>
        <w:rPr>
          <w:rFonts w:cstheme="minorHAnsi"/>
          <w:color w:val="000000"/>
          <w:sz w:val="24"/>
          <w:szCs w:val="24"/>
          <w:u w:val="single"/>
        </w:rPr>
        <w:t xml:space="preserve"> </w:t>
      </w:r>
      <w:r w:rsidRPr="004D7EF8">
        <w:rPr>
          <w:rFonts w:cstheme="minorHAnsi"/>
          <w:color w:val="000000"/>
          <w:sz w:val="24"/>
          <w:szCs w:val="24"/>
          <w:u w:val="single"/>
        </w:rPr>
        <w:t xml:space="preserve">Practice Life </w:t>
      </w:r>
    </w:p>
    <w:p w14:paraId="1672A8C7" w14:textId="77777777" w:rsidR="00740350" w:rsidRPr="004D7EF8" w:rsidRDefault="00740350" w:rsidP="00740350">
      <w:pPr>
        <w:spacing w:after="0" w:line="240" w:lineRule="auto"/>
        <w:rPr>
          <w:rFonts w:cstheme="minorHAnsi"/>
          <w:color w:val="000000"/>
        </w:rPr>
      </w:pPr>
    </w:p>
    <w:p w14:paraId="47C194D0" w14:textId="77777777" w:rsidR="00740350" w:rsidRPr="004D7EF8" w:rsidRDefault="00740350" w:rsidP="00740350">
      <w:pPr>
        <w:rPr>
          <w:rFonts w:cstheme="minorHAnsi"/>
          <w:bCs/>
        </w:rPr>
      </w:pPr>
      <w:r w:rsidRPr="004D7EF8">
        <w:rPr>
          <w:rFonts w:cstheme="minorHAnsi"/>
          <w:bCs/>
        </w:rPr>
        <w:t>1) A forest established after 15 years, is unlikely to be converted (compare</w:t>
      </w:r>
      <w:r>
        <w:rPr>
          <w:rFonts w:cstheme="minorHAnsi"/>
          <w:bCs/>
        </w:rPr>
        <w:t>d</w:t>
      </w:r>
      <w:r w:rsidRPr="004D7EF8">
        <w:rPr>
          <w:rFonts w:cstheme="minorHAnsi"/>
          <w:bCs/>
        </w:rPr>
        <w:t xml:space="preserve"> to </w:t>
      </w:r>
      <w:r>
        <w:rPr>
          <w:rFonts w:cstheme="minorHAnsi"/>
          <w:bCs/>
        </w:rPr>
        <w:t xml:space="preserve">a </w:t>
      </w:r>
      <w:r w:rsidRPr="004D7EF8">
        <w:rPr>
          <w:rFonts w:cstheme="minorHAnsi"/>
          <w:bCs/>
        </w:rPr>
        <w:t xml:space="preserve">grass buffer or single tree).  Multiple landowner surveys have shown that 80-88% of landowners intend to keep their new forest buffer indefinitely (English and </w:t>
      </w:r>
      <w:proofErr w:type="spellStart"/>
      <w:r w:rsidRPr="004D7EF8">
        <w:rPr>
          <w:rFonts w:cstheme="minorHAnsi"/>
          <w:bCs/>
        </w:rPr>
        <w:t>Hyberg</w:t>
      </w:r>
      <w:proofErr w:type="spellEnd"/>
      <w:r w:rsidRPr="004D7EF8">
        <w:rPr>
          <w:rFonts w:cstheme="minorHAnsi"/>
          <w:bCs/>
        </w:rPr>
        <w:t xml:space="preserve"> 2019, Cooper 2005, </w:t>
      </w:r>
      <w:proofErr w:type="spellStart"/>
      <w:r w:rsidRPr="004D7EF8">
        <w:rPr>
          <w:rFonts w:cstheme="minorHAnsi"/>
          <w:bCs/>
        </w:rPr>
        <w:t>Fesco</w:t>
      </w:r>
      <w:proofErr w:type="spellEnd"/>
      <w:r w:rsidRPr="004D7EF8">
        <w:rPr>
          <w:rFonts w:cstheme="minorHAnsi"/>
          <w:bCs/>
        </w:rPr>
        <w:t xml:space="preserve"> 1982).</w:t>
      </w:r>
    </w:p>
    <w:p w14:paraId="6876C414" w14:textId="77777777" w:rsidR="00740350" w:rsidRDefault="00740350" w:rsidP="00740350">
      <w:pPr>
        <w:rPr>
          <w:rFonts w:cstheme="minorHAnsi"/>
          <w:bCs/>
        </w:rPr>
      </w:pPr>
      <w:r w:rsidRPr="004D7EF8">
        <w:rPr>
          <w:rFonts w:cstheme="minorHAnsi"/>
          <w:bCs/>
        </w:rPr>
        <w:t xml:space="preserve">2) Forests are naturally regenerative.  </w:t>
      </w:r>
    </w:p>
    <w:p w14:paraId="2F4D2F46" w14:textId="77777777" w:rsidR="00740350" w:rsidRPr="004D7EF8" w:rsidRDefault="00740350" w:rsidP="00740350">
      <w:pPr>
        <w:rPr>
          <w:rFonts w:cstheme="minorHAnsi"/>
          <w:bCs/>
        </w:rPr>
      </w:pPr>
      <w:r>
        <w:rPr>
          <w:rFonts w:cstheme="minorHAnsi"/>
          <w:bCs/>
        </w:rPr>
        <w:t>3) Urban environs are harsher than agricultural ones.  Small or narrow plantings are not as resilient as larger ones.</w:t>
      </w:r>
    </w:p>
    <w:p w14:paraId="77B35B50" w14:textId="3F1B5B82" w:rsidR="00F20100" w:rsidRPr="004D7EF8" w:rsidRDefault="00740350" w:rsidP="00740350">
      <w:pPr>
        <w:rPr>
          <w:rFonts w:cstheme="minorHAnsi"/>
          <w:bCs/>
        </w:rPr>
      </w:pPr>
      <w:r>
        <w:rPr>
          <w:rFonts w:cstheme="minorHAnsi"/>
          <w:bCs/>
        </w:rPr>
        <w:t>4</w:t>
      </w:r>
      <w:r w:rsidRPr="004D7EF8">
        <w:rPr>
          <w:rFonts w:cstheme="minorHAnsi"/>
          <w:bCs/>
        </w:rPr>
        <w:t xml:space="preserve">) After a 15-year establishment period some grazing can occur without impacting buffer function.   The 2018 Farm Bill, for instance, now permits grazing in some buffers. </w:t>
      </w:r>
      <w:r>
        <w:rPr>
          <w:rFonts w:cstheme="minorHAnsi"/>
          <w:bCs/>
        </w:rPr>
        <w:t>[Definition for Buffer with Fencing may need to be updated to reflect this.]</w:t>
      </w:r>
    </w:p>
    <w:tbl>
      <w:tblPr>
        <w:tblStyle w:val="TableGrid"/>
        <w:tblpPr w:leftFromText="180" w:rightFromText="180" w:vertAnchor="page" w:horzAnchor="margin" w:tblpY="751"/>
        <w:tblW w:w="9535" w:type="dxa"/>
        <w:tblLook w:val="04A0" w:firstRow="1" w:lastRow="0" w:firstColumn="1" w:lastColumn="0" w:noHBand="0" w:noVBand="1"/>
      </w:tblPr>
      <w:tblGrid>
        <w:gridCol w:w="2088"/>
        <w:gridCol w:w="1057"/>
        <w:gridCol w:w="1080"/>
        <w:gridCol w:w="990"/>
        <w:gridCol w:w="1980"/>
        <w:gridCol w:w="2340"/>
      </w:tblGrid>
      <w:tr w:rsidR="007942FF" w:rsidRPr="007A6E8E" w14:paraId="70EE97FD" w14:textId="04CF4CBA" w:rsidTr="0054423E">
        <w:trPr>
          <w:trHeight w:val="587"/>
        </w:trPr>
        <w:tc>
          <w:tcPr>
            <w:tcW w:w="2088" w:type="dxa"/>
            <w:vMerge w:val="restart"/>
            <w:tcBorders>
              <w:bottom w:val="nil"/>
            </w:tcBorders>
          </w:tcPr>
          <w:p w14:paraId="74805692" w14:textId="77777777" w:rsidR="007942FF" w:rsidRPr="00841E52" w:rsidRDefault="007942FF" w:rsidP="00F20100">
            <w:pPr>
              <w:spacing w:line="240" w:lineRule="auto"/>
              <w:rPr>
                <w:rFonts w:cstheme="minorHAnsi"/>
                <w:b/>
                <w:sz w:val="20"/>
                <w:szCs w:val="20"/>
              </w:rPr>
            </w:pPr>
          </w:p>
          <w:p w14:paraId="0290DA03" w14:textId="77777777" w:rsidR="007942FF" w:rsidRPr="00841E52" w:rsidRDefault="007942FF" w:rsidP="00F20100">
            <w:pPr>
              <w:spacing w:line="240" w:lineRule="auto"/>
              <w:rPr>
                <w:rFonts w:cstheme="minorHAnsi"/>
                <w:b/>
                <w:sz w:val="20"/>
                <w:szCs w:val="20"/>
              </w:rPr>
            </w:pPr>
            <w:r w:rsidRPr="00841E52">
              <w:rPr>
                <w:rFonts w:cstheme="minorHAnsi"/>
                <w:b/>
                <w:sz w:val="20"/>
                <w:szCs w:val="20"/>
              </w:rPr>
              <w:t>Forestry BMPs</w:t>
            </w:r>
          </w:p>
          <w:p w14:paraId="0BAAAE02" w14:textId="308B83BC" w:rsidR="007942FF" w:rsidRPr="007A6E8E" w:rsidRDefault="007942FF" w:rsidP="00F20100">
            <w:pPr>
              <w:spacing w:line="240" w:lineRule="auto"/>
              <w:rPr>
                <w:rFonts w:cstheme="minorHAnsi"/>
                <w:bCs/>
                <w:sz w:val="20"/>
                <w:szCs w:val="20"/>
              </w:rPr>
            </w:pPr>
            <w:r w:rsidRPr="00841E52">
              <w:rPr>
                <w:rFonts w:cstheme="minorHAnsi"/>
                <w:bCs/>
                <w:sz w:val="20"/>
                <w:szCs w:val="20"/>
              </w:rPr>
              <w:t xml:space="preserve">  </w:t>
            </w:r>
            <w:r w:rsidRPr="007A6E8E">
              <w:rPr>
                <w:rFonts w:cstheme="minorHAnsi"/>
                <w:bCs/>
                <w:sz w:val="20"/>
                <w:szCs w:val="20"/>
              </w:rPr>
              <w:t xml:space="preserve">(Pink= </w:t>
            </w:r>
            <w:r w:rsidR="00F26EA1" w:rsidRPr="007A6E8E">
              <w:rPr>
                <w:rFonts w:cstheme="minorHAnsi"/>
                <w:bCs/>
                <w:sz w:val="20"/>
                <w:szCs w:val="20"/>
              </w:rPr>
              <w:t>forest buffers</w:t>
            </w:r>
          </w:p>
          <w:p w14:paraId="7A8609F5" w14:textId="73499FAE" w:rsidR="007942FF" w:rsidRPr="00841E52" w:rsidRDefault="007942FF" w:rsidP="00F20100">
            <w:pPr>
              <w:spacing w:line="240" w:lineRule="auto"/>
              <w:rPr>
                <w:rFonts w:cstheme="minorHAnsi"/>
                <w:b/>
                <w:sz w:val="20"/>
                <w:szCs w:val="20"/>
              </w:rPr>
            </w:pPr>
            <w:r w:rsidRPr="007A6E8E">
              <w:rPr>
                <w:rFonts w:cstheme="minorHAnsi"/>
                <w:bCs/>
                <w:sz w:val="20"/>
                <w:szCs w:val="20"/>
              </w:rPr>
              <w:t xml:space="preserve"> Blue-=tree plantings)</w:t>
            </w:r>
          </w:p>
        </w:tc>
        <w:tc>
          <w:tcPr>
            <w:tcW w:w="2137" w:type="dxa"/>
            <w:gridSpan w:val="2"/>
          </w:tcPr>
          <w:p w14:paraId="03390401" w14:textId="18347991" w:rsidR="007942FF" w:rsidRPr="00841E52" w:rsidRDefault="007942FF" w:rsidP="00F20100">
            <w:pPr>
              <w:spacing w:line="240" w:lineRule="auto"/>
              <w:jc w:val="center"/>
              <w:rPr>
                <w:rFonts w:cstheme="minorHAnsi"/>
                <w:b/>
                <w:sz w:val="20"/>
                <w:szCs w:val="20"/>
              </w:rPr>
            </w:pPr>
            <w:r w:rsidRPr="00841E52">
              <w:rPr>
                <w:rFonts w:cstheme="minorHAnsi"/>
                <w:b/>
                <w:sz w:val="20"/>
                <w:szCs w:val="20"/>
              </w:rPr>
              <w:t>Practice Life Span</w:t>
            </w:r>
            <w:r w:rsidR="0054423E">
              <w:rPr>
                <w:rFonts w:cstheme="minorHAnsi"/>
                <w:b/>
                <w:sz w:val="20"/>
                <w:szCs w:val="20"/>
              </w:rPr>
              <w:t xml:space="preserve"> </w:t>
            </w:r>
            <w:r w:rsidR="0054423E" w:rsidRPr="0054423E">
              <w:rPr>
                <w:rFonts w:cstheme="minorHAnsi"/>
                <w:bCs/>
                <w:sz w:val="20"/>
                <w:szCs w:val="20"/>
              </w:rPr>
              <w:t>(time that a Practice is expected to persist</w:t>
            </w:r>
            <w:r w:rsidR="0054423E">
              <w:rPr>
                <w:rFonts w:cstheme="minorHAnsi"/>
                <w:bCs/>
                <w:sz w:val="20"/>
                <w:szCs w:val="20"/>
              </w:rPr>
              <w:t>; used primarily for cost-benefit calculations</w:t>
            </w:r>
            <w:r w:rsidR="0054423E" w:rsidRPr="0054423E">
              <w:rPr>
                <w:rFonts w:cstheme="minorHAnsi"/>
                <w:bCs/>
                <w:sz w:val="20"/>
                <w:szCs w:val="20"/>
              </w:rPr>
              <w:t>)</w:t>
            </w:r>
          </w:p>
        </w:tc>
        <w:tc>
          <w:tcPr>
            <w:tcW w:w="2970" w:type="dxa"/>
            <w:gridSpan w:val="2"/>
          </w:tcPr>
          <w:p w14:paraId="3D5B418D" w14:textId="07EFB967" w:rsidR="007942FF" w:rsidRPr="00841E52" w:rsidRDefault="007942FF" w:rsidP="00F20100">
            <w:pPr>
              <w:spacing w:line="240" w:lineRule="auto"/>
              <w:jc w:val="center"/>
              <w:rPr>
                <w:rFonts w:cstheme="minorHAnsi"/>
                <w:b/>
                <w:sz w:val="20"/>
                <w:szCs w:val="20"/>
              </w:rPr>
            </w:pPr>
            <w:r w:rsidRPr="00841E52">
              <w:rPr>
                <w:rFonts w:cstheme="minorHAnsi"/>
                <w:b/>
                <w:sz w:val="20"/>
                <w:szCs w:val="20"/>
              </w:rPr>
              <w:t>Credit Duration</w:t>
            </w:r>
            <w:r w:rsidR="0054423E">
              <w:rPr>
                <w:rFonts w:cstheme="minorHAnsi"/>
                <w:b/>
                <w:sz w:val="20"/>
                <w:szCs w:val="20"/>
              </w:rPr>
              <w:t xml:space="preserve"> </w:t>
            </w:r>
            <w:r w:rsidR="0054423E" w:rsidRPr="0054423E">
              <w:rPr>
                <w:rFonts w:cstheme="minorHAnsi"/>
                <w:bCs/>
                <w:sz w:val="20"/>
                <w:szCs w:val="20"/>
              </w:rPr>
              <w:t xml:space="preserve">(time </w:t>
            </w:r>
            <w:r w:rsidR="0054423E">
              <w:rPr>
                <w:rFonts w:cstheme="minorHAnsi"/>
                <w:bCs/>
                <w:sz w:val="20"/>
                <w:szCs w:val="20"/>
              </w:rPr>
              <w:t>that a P</w:t>
            </w:r>
            <w:r w:rsidR="0054423E" w:rsidRPr="0054423E">
              <w:rPr>
                <w:rFonts w:cstheme="minorHAnsi"/>
                <w:bCs/>
                <w:sz w:val="20"/>
                <w:szCs w:val="20"/>
              </w:rPr>
              <w:t xml:space="preserve">ractice is </w:t>
            </w:r>
            <w:r w:rsidR="0054423E">
              <w:rPr>
                <w:rFonts w:cstheme="minorHAnsi"/>
                <w:bCs/>
                <w:sz w:val="20"/>
                <w:szCs w:val="20"/>
              </w:rPr>
              <w:t>held</w:t>
            </w:r>
            <w:r w:rsidR="0054423E" w:rsidRPr="0054423E">
              <w:rPr>
                <w:rFonts w:cstheme="minorHAnsi"/>
                <w:bCs/>
                <w:sz w:val="20"/>
                <w:szCs w:val="20"/>
              </w:rPr>
              <w:t xml:space="preserve"> in CAST</w:t>
            </w:r>
            <w:r w:rsidR="0054423E">
              <w:rPr>
                <w:rFonts w:cstheme="minorHAnsi"/>
                <w:bCs/>
                <w:sz w:val="20"/>
                <w:szCs w:val="20"/>
              </w:rPr>
              <w:t xml:space="preserve"> before being needing reverification</w:t>
            </w:r>
            <w:r w:rsidR="0054423E" w:rsidRPr="0054423E">
              <w:rPr>
                <w:rFonts w:cstheme="minorHAnsi"/>
                <w:bCs/>
                <w:sz w:val="20"/>
                <w:szCs w:val="20"/>
              </w:rPr>
              <w:t>)</w:t>
            </w:r>
          </w:p>
        </w:tc>
        <w:tc>
          <w:tcPr>
            <w:tcW w:w="2340" w:type="dxa"/>
          </w:tcPr>
          <w:p w14:paraId="1FBF1FB0" w14:textId="2E5FF488" w:rsidR="007942FF" w:rsidRPr="0054423E" w:rsidRDefault="00D44219" w:rsidP="00D44219">
            <w:pPr>
              <w:spacing w:line="240" w:lineRule="auto"/>
              <w:rPr>
                <w:rFonts w:cstheme="minorHAnsi"/>
                <w:b/>
                <w:sz w:val="20"/>
                <w:szCs w:val="20"/>
              </w:rPr>
            </w:pPr>
            <w:r w:rsidRPr="00841E52">
              <w:rPr>
                <w:rFonts w:cstheme="minorHAnsi"/>
                <w:b/>
                <w:sz w:val="20"/>
                <w:szCs w:val="20"/>
              </w:rPr>
              <w:t xml:space="preserve"> </w:t>
            </w:r>
            <w:r w:rsidR="007942FF" w:rsidRPr="00841E52">
              <w:rPr>
                <w:rFonts w:cstheme="minorHAnsi"/>
                <w:b/>
                <w:sz w:val="20"/>
                <w:szCs w:val="20"/>
              </w:rPr>
              <w:t>Back Out</w:t>
            </w:r>
            <w:r w:rsidR="0054423E">
              <w:rPr>
                <w:rFonts w:cstheme="minorHAnsi"/>
                <w:b/>
                <w:sz w:val="20"/>
                <w:szCs w:val="20"/>
              </w:rPr>
              <w:t xml:space="preserve"> </w:t>
            </w:r>
            <w:r w:rsidR="0054423E" w:rsidRPr="0054423E">
              <w:rPr>
                <w:rFonts w:cstheme="minorHAnsi"/>
                <w:bCs/>
                <w:sz w:val="20"/>
                <w:szCs w:val="20"/>
              </w:rPr>
              <w:t>(</w:t>
            </w:r>
            <w:r w:rsidR="0054423E">
              <w:rPr>
                <w:rFonts w:cstheme="minorHAnsi"/>
                <w:bCs/>
                <w:sz w:val="20"/>
                <w:szCs w:val="20"/>
              </w:rPr>
              <w:t>process by which a P</w:t>
            </w:r>
            <w:r w:rsidR="0054423E" w:rsidRPr="0054423E">
              <w:rPr>
                <w:rFonts w:cstheme="minorHAnsi"/>
                <w:bCs/>
                <w:sz w:val="20"/>
                <w:szCs w:val="20"/>
              </w:rPr>
              <w:t xml:space="preserve">ractice is </w:t>
            </w:r>
            <w:r w:rsidR="0054423E">
              <w:rPr>
                <w:rFonts w:cstheme="minorHAnsi"/>
                <w:bCs/>
                <w:sz w:val="20"/>
                <w:szCs w:val="20"/>
              </w:rPr>
              <w:t>“counted” in</w:t>
            </w:r>
            <w:r w:rsidR="0054423E" w:rsidRPr="0054423E">
              <w:rPr>
                <w:rFonts w:cstheme="minorHAnsi"/>
                <w:bCs/>
                <w:sz w:val="20"/>
                <w:szCs w:val="20"/>
              </w:rPr>
              <w:t xml:space="preserve"> the Land Use Model </w:t>
            </w:r>
            <w:r w:rsidR="0054423E">
              <w:rPr>
                <w:rFonts w:cstheme="minorHAnsi"/>
                <w:bCs/>
                <w:sz w:val="20"/>
                <w:szCs w:val="20"/>
              </w:rPr>
              <w:t>in place</w:t>
            </w:r>
            <w:r w:rsidR="0054423E" w:rsidRPr="0054423E">
              <w:rPr>
                <w:rFonts w:cstheme="minorHAnsi"/>
                <w:bCs/>
                <w:sz w:val="20"/>
                <w:szCs w:val="20"/>
              </w:rPr>
              <w:t xml:space="preserve"> of NEIEN</w:t>
            </w:r>
            <w:r w:rsidR="0054423E">
              <w:rPr>
                <w:rFonts w:cstheme="minorHAnsi"/>
                <w:bCs/>
                <w:sz w:val="20"/>
                <w:szCs w:val="20"/>
              </w:rPr>
              <w:t xml:space="preserve"> in order to prevent </w:t>
            </w:r>
            <w:proofErr w:type="gramStart"/>
            <w:r w:rsidR="0054423E">
              <w:rPr>
                <w:rFonts w:cstheme="minorHAnsi"/>
                <w:bCs/>
                <w:sz w:val="20"/>
                <w:szCs w:val="20"/>
              </w:rPr>
              <w:t>double-counting</w:t>
            </w:r>
            <w:proofErr w:type="gramEnd"/>
            <w:r w:rsidR="0054423E" w:rsidRPr="0054423E">
              <w:rPr>
                <w:rFonts w:cstheme="minorHAnsi"/>
                <w:bCs/>
                <w:sz w:val="20"/>
                <w:szCs w:val="20"/>
              </w:rPr>
              <w:t>)</w:t>
            </w:r>
          </w:p>
        </w:tc>
      </w:tr>
      <w:tr w:rsidR="007A6E8E" w:rsidRPr="007A6E8E" w14:paraId="28422A25" w14:textId="022F6B8C" w:rsidTr="0054423E">
        <w:trPr>
          <w:trHeight w:val="383"/>
        </w:trPr>
        <w:tc>
          <w:tcPr>
            <w:tcW w:w="2088" w:type="dxa"/>
            <w:vMerge/>
            <w:tcBorders>
              <w:bottom w:val="single" w:sz="4" w:space="0" w:color="auto"/>
            </w:tcBorders>
          </w:tcPr>
          <w:p w14:paraId="0C49A69F" w14:textId="77777777" w:rsidR="007942FF" w:rsidRPr="00841E52" w:rsidRDefault="007942FF" w:rsidP="00F20100">
            <w:pPr>
              <w:spacing w:line="240" w:lineRule="auto"/>
              <w:rPr>
                <w:rFonts w:cstheme="minorHAnsi"/>
                <w:color w:val="000000"/>
                <w:sz w:val="20"/>
                <w:szCs w:val="20"/>
              </w:rPr>
            </w:pPr>
          </w:p>
        </w:tc>
        <w:tc>
          <w:tcPr>
            <w:tcW w:w="1057" w:type="dxa"/>
            <w:tcBorders>
              <w:bottom w:val="single" w:sz="4" w:space="0" w:color="auto"/>
            </w:tcBorders>
          </w:tcPr>
          <w:p w14:paraId="0089CFD9" w14:textId="77777777" w:rsidR="007942FF" w:rsidRPr="00841E52" w:rsidRDefault="007942FF" w:rsidP="00F20100">
            <w:pPr>
              <w:spacing w:line="240" w:lineRule="auto"/>
              <w:rPr>
                <w:rFonts w:cstheme="minorHAnsi"/>
                <w:bCs/>
                <w:sz w:val="20"/>
                <w:szCs w:val="20"/>
              </w:rPr>
            </w:pPr>
            <w:r w:rsidRPr="00841E52">
              <w:rPr>
                <w:rFonts w:cstheme="minorHAnsi"/>
                <w:bCs/>
                <w:sz w:val="20"/>
                <w:szCs w:val="20"/>
              </w:rPr>
              <w:t xml:space="preserve">Current                  </w:t>
            </w:r>
          </w:p>
        </w:tc>
        <w:tc>
          <w:tcPr>
            <w:tcW w:w="1080" w:type="dxa"/>
            <w:tcBorders>
              <w:bottom w:val="single" w:sz="4" w:space="0" w:color="auto"/>
              <w:right w:val="double" w:sz="4" w:space="0" w:color="auto"/>
            </w:tcBorders>
            <w:shd w:val="clear" w:color="auto" w:fill="E7E6E6" w:themeFill="background2"/>
          </w:tcPr>
          <w:p w14:paraId="41F76025" w14:textId="77777777" w:rsidR="007942FF" w:rsidRPr="00841E52" w:rsidRDefault="007942FF" w:rsidP="00F20100">
            <w:pPr>
              <w:spacing w:line="240" w:lineRule="auto"/>
              <w:rPr>
                <w:rFonts w:cstheme="minorHAnsi"/>
                <w:bCs/>
                <w:sz w:val="20"/>
                <w:szCs w:val="20"/>
              </w:rPr>
            </w:pPr>
            <w:r w:rsidRPr="00841E52">
              <w:rPr>
                <w:rFonts w:cstheme="minorHAnsi"/>
                <w:bCs/>
                <w:sz w:val="20"/>
                <w:szCs w:val="20"/>
                <w:highlight w:val="yellow"/>
              </w:rPr>
              <w:t>Proposed</w:t>
            </w:r>
          </w:p>
        </w:tc>
        <w:tc>
          <w:tcPr>
            <w:tcW w:w="990" w:type="dxa"/>
            <w:tcBorders>
              <w:left w:val="double" w:sz="4" w:space="0" w:color="auto"/>
              <w:bottom w:val="single" w:sz="4" w:space="0" w:color="auto"/>
            </w:tcBorders>
          </w:tcPr>
          <w:p w14:paraId="4A303AA4" w14:textId="77777777" w:rsidR="007942FF" w:rsidRPr="00841E52" w:rsidRDefault="007942FF" w:rsidP="00F20100">
            <w:pPr>
              <w:spacing w:line="240" w:lineRule="auto"/>
              <w:rPr>
                <w:rFonts w:cstheme="minorHAnsi"/>
                <w:bCs/>
                <w:sz w:val="20"/>
                <w:szCs w:val="20"/>
              </w:rPr>
            </w:pPr>
            <w:r w:rsidRPr="00841E52">
              <w:rPr>
                <w:rFonts w:cstheme="minorHAnsi"/>
                <w:bCs/>
                <w:sz w:val="20"/>
                <w:szCs w:val="20"/>
              </w:rPr>
              <w:t>Current</w:t>
            </w:r>
          </w:p>
        </w:tc>
        <w:tc>
          <w:tcPr>
            <w:tcW w:w="1980" w:type="dxa"/>
            <w:tcBorders>
              <w:bottom w:val="single" w:sz="4" w:space="0" w:color="auto"/>
            </w:tcBorders>
            <w:shd w:val="clear" w:color="auto" w:fill="E7E6E6" w:themeFill="background2"/>
          </w:tcPr>
          <w:p w14:paraId="37468AA8" w14:textId="77777777" w:rsidR="007942FF" w:rsidRPr="00841E52" w:rsidRDefault="007942FF" w:rsidP="00F20100">
            <w:pPr>
              <w:spacing w:line="240" w:lineRule="auto"/>
              <w:rPr>
                <w:rFonts w:cstheme="minorHAnsi"/>
                <w:bCs/>
                <w:sz w:val="20"/>
                <w:szCs w:val="20"/>
              </w:rPr>
            </w:pPr>
            <w:r w:rsidRPr="00841E52">
              <w:rPr>
                <w:rFonts w:cstheme="minorHAnsi"/>
                <w:bCs/>
                <w:sz w:val="20"/>
                <w:szCs w:val="20"/>
                <w:highlight w:val="yellow"/>
              </w:rPr>
              <w:t>Proposed</w:t>
            </w:r>
          </w:p>
        </w:tc>
        <w:tc>
          <w:tcPr>
            <w:tcW w:w="2340" w:type="dxa"/>
            <w:tcBorders>
              <w:bottom w:val="single" w:sz="4" w:space="0" w:color="auto"/>
            </w:tcBorders>
            <w:shd w:val="clear" w:color="auto" w:fill="E7E6E6" w:themeFill="background2"/>
          </w:tcPr>
          <w:p w14:paraId="703D8DB5" w14:textId="4F653E48" w:rsidR="007942FF" w:rsidRPr="00841E52" w:rsidRDefault="0054423E" w:rsidP="00F20100">
            <w:pPr>
              <w:spacing w:line="240" w:lineRule="auto"/>
              <w:rPr>
                <w:rFonts w:cstheme="minorHAnsi"/>
                <w:bCs/>
                <w:sz w:val="20"/>
                <w:szCs w:val="20"/>
                <w:highlight w:val="yellow"/>
              </w:rPr>
            </w:pPr>
            <w:r>
              <w:rPr>
                <w:rFonts w:cstheme="minorHAnsi"/>
                <w:bCs/>
                <w:sz w:val="20"/>
                <w:szCs w:val="20"/>
                <w:highlight w:val="yellow"/>
              </w:rPr>
              <w:t xml:space="preserve"> </w:t>
            </w:r>
          </w:p>
        </w:tc>
      </w:tr>
      <w:tr w:rsidR="007A6E8E" w:rsidRPr="007A6E8E" w14:paraId="6600628A" w14:textId="04724D46" w:rsidTr="0054423E">
        <w:trPr>
          <w:trHeight w:val="542"/>
        </w:trPr>
        <w:tc>
          <w:tcPr>
            <w:tcW w:w="2088" w:type="dxa"/>
            <w:tcBorders>
              <w:top w:val="single" w:sz="4" w:space="0" w:color="auto"/>
              <w:bottom w:val="single" w:sz="4" w:space="0" w:color="auto"/>
            </w:tcBorders>
            <w:shd w:val="clear" w:color="auto" w:fill="DEEAF6" w:themeFill="accent5" w:themeFillTint="33"/>
          </w:tcPr>
          <w:p w14:paraId="0D57A27D" w14:textId="20D55F6D" w:rsidR="007942FF" w:rsidRPr="00841E52" w:rsidRDefault="007942FF" w:rsidP="00F20100">
            <w:pPr>
              <w:spacing w:line="240" w:lineRule="auto"/>
              <w:rPr>
                <w:rFonts w:cstheme="minorHAnsi"/>
                <w:color w:val="000000"/>
                <w:sz w:val="20"/>
                <w:szCs w:val="20"/>
              </w:rPr>
            </w:pPr>
            <w:r w:rsidRPr="00841E52">
              <w:rPr>
                <w:rFonts w:cstheme="minorHAnsi"/>
                <w:color w:val="000000"/>
                <w:sz w:val="20"/>
                <w:szCs w:val="20"/>
              </w:rPr>
              <w:t>Ag Forest Buffer</w:t>
            </w:r>
            <w:r w:rsidR="0070713A" w:rsidRPr="00841E52">
              <w:rPr>
                <w:rFonts w:cstheme="minorHAnsi"/>
                <w:color w:val="000000"/>
                <w:sz w:val="20"/>
                <w:szCs w:val="20"/>
              </w:rPr>
              <w:t xml:space="preserve"> </w:t>
            </w:r>
            <w:r w:rsidRPr="00841E52">
              <w:rPr>
                <w:rFonts w:cstheme="minorHAnsi"/>
                <w:bCs/>
                <w:sz w:val="20"/>
                <w:szCs w:val="20"/>
              </w:rPr>
              <w:t>(w/o fencing- crop)</w:t>
            </w:r>
          </w:p>
        </w:tc>
        <w:tc>
          <w:tcPr>
            <w:tcW w:w="1057" w:type="dxa"/>
            <w:tcBorders>
              <w:bottom w:val="single" w:sz="4" w:space="0" w:color="auto"/>
            </w:tcBorders>
            <w:shd w:val="clear" w:color="auto" w:fill="DEEAF6" w:themeFill="accent5" w:themeFillTint="33"/>
          </w:tcPr>
          <w:p w14:paraId="76014F1A" w14:textId="77777777" w:rsidR="007942FF" w:rsidRPr="00841E52" w:rsidRDefault="007942FF" w:rsidP="00F20100">
            <w:pPr>
              <w:spacing w:line="240" w:lineRule="auto"/>
              <w:rPr>
                <w:rFonts w:cstheme="minorHAnsi"/>
                <w:bCs/>
                <w:sz w:val="20"/>
                <w:szCs w:val="20"/>
              </w:rPr>
            </w:pPr>
            <w:r w:rsidRPr="00841E52">
              <w:rPr>
                <w:rFonts w:cstheme="minorHAnsi"/>
                <w:bCs/>
                <w:sz w:val="20"/>
                <w:szCs w:val="20"/>
              </w:rPr>
              <w:t>40 years</w:t>
            </w:r>
            <w:r w:rsidRPr="00841E52">
              <w:rPr>
                <w:rFonts w:cstheme="minorHAnsi"/>
                <w:bCs/>
                <w:sz w:val="20"/>
                <w:szCs w:val="20"/>
                <w:vertAlign w:val="superscript"/>
              </w:rPr>
              <w:t>1</w:t>
            </w:r>
          </w:p>
        </w:tc>
        <w:tc>
          <w:tcPr>
            <w:tcW w:w="1080" w:type="dxa"/>
            <w:tcBorders>
              <w:bottom w:val="single" w:sz="4" w:space="0" w:color="auto"/>
              <w:right w:val="double" w:sz="4" w:space="0" w:color="auto"/>
            </w:tcBorders>
            <w:shd w:val="clear" w:color="auto" w:fill="DEEAF6" w:themeFill="accent5" w:themeFillTint="33"/>
          </w:tcPr>
          <w:p w14:paraId="2B449367" w14:textId="6A7FD4FD" w:rsidR="007942FF" w:rsidRPr="00841E52" w:rsidRDefault="00E507F1" w:rsidP="00F20100">
            <w:pPr>
              <w:spacing w:line="240" w:lineRule="auto"/>
              <w:rPr>
                <w:rFonts w:cstheme="minorHAnsi"/>
                <w:bCs/>
                <w:sz w:val="20"/>
                <w:szCs w:val="20"/>
              </w:rPr>
            </w:pPr>
            <w:r w:rsidRPr="00841E52">
              <w:rPr>
                <w:rFonts w:cstheme="minorHAnsi"/>
                <w:bCs/>
                <w:sz w:val="20"/>
                <w:szCs w:val="20"/>
              </w:rPr>
              <w:t>7</w:t>
            </w:r>
            <w:r w:rsidR="00505D08" w:rsidRPr="00841E52">
              <w:rPr>
                <w:rFonts w:cstheme="minorHAnsi"/>
                <w:bCs/>
                <w:sz w:val="20"/>
                <w:szCs w:val="20"/>
              </w:rPr>
              <w:t>0</w:t>
            </w:r>
            <w:r w:rsidR="007942FF" w:rsidRPr="00841E52">
              <w:rPr>
                <w:rFonts w:cstheme="minorHAnsi"/>
                <w:bCs/>
                <w:sz w:val="20"/>
                <w:szCs w:val="20"/>
              </w:rPr>
              <w:t xml:space="preserve"> years</w:t>
            </w:r>
          </w:p>
        </w:tc>
        <w:tc>
          <w:tcPr>
            <w:tcW w:w="990" w:type="dxa"/>
            <w:tcBorders>
              <w:left w:val="double" w:sz="4" w:space="0" w:color="auto"/>
              <w:bottom w:val="single" w:sz="4" w:space="0" w:color="auto"/>
            </w:tcBorders>
            <w:shd w:val="clear" w:color="auto" w:fill="DEEAF6" w:themeFill="accent5" w:themeFillTint="33"/>
          </w:tcPr>
          <w:p w14:paraId="00D7B31C" w14:textId="0ACFA28C" w:rsidR="007942FF" w:rsidRPr="00841E52" w:rsidRDefault="007942FF" w:rsidP="00F20100">
            <w:pPr>
              <w:spacing w:line="240" w:lineRule="auto"/>
              <w:rPr>
                <w:rFonts w:cstheme="minorHAnsi"/>
                <w:bCs/>
                <w:sz w:val="20"/>
                <w:szCs w:val="20"/>
              </w:rPr>
            </w:pPr>
            <w:r w:rsidRPr="00841E52">
              <w:rPr>
                <w:rFonts w:cstheme="minorHAnsi"/>
                <w:bCs/>
                <w:sz w:val="20"/>
                <w:szCs w:val="20"/>
              </w:rPr>
              <w:t>10 years</w:t>
            </w:r>
            <w:r w:rsidR="00D44219" w:rsidRPr="00841E52">
              <w:rPr>
                <w:rFonts w:cstheme="minorHAnsi"/>
                <w:bCs/>
                <w:sz w:val="20"/>
                <w:szCs w:val="20"/>
                <w:vertAlign w:val="superscript"/>
              </w:rPr>
              <w:t>1</w:t>
            </w:r>
          </w:p>
        </w:tc>
        <w:tc>
          <w:tcPr>
            <w:tcW w:w="1980" w:type="dxa"/>
            <w:tcBorders>
              <w:bottom w:val="single" w:sz="4" w:space="0" w:color="auto"/>
            </w:tcBorders>
            <w:shd w:val="clear" w:color="auto" w:fill="DEEAF6" w:themeFill="accent5" w:themeFillTint="33"/>
          </w:tcPr>
          <w:p w14:paraId="6DFEE0BB" w14:textId="77777777" w:rsidR="007942FF" w:rsidRPr="00841E52" w:rsidRDefault="007942FF" w:rsidP="00F20100">
            <w:pPr>
              <w:spacing w:line="240" w:lineRule="auto"/>
              <w:rPr>
                <w:rFonts w:cstheme="minorHAnsi"/>
                <w:bCs/>
                <w:sz w:val="20"/>
                <w:szCs w:val="20"/>
              </w:rPr>
            </w:pPr>
            <w:r w:rsidRPr="00841E52">
              <w:rPr>
                <w:rFonts w:cstheme="minorHAnsi"/>
                <w:bCs/>
                <w:sz w:val="20"/>
                <w:szCs w:val="20"/>
              </w:rPr>
              <w:t>15 years</w:t>
            </w:r>
          </w:p>
        </w:tc>
        <w:tc>
          <w:tcPr>
            <w:tcW w:w="2340" w:type="dxa"/>
            <w:tcBorders>
              <w:bottom w:val="single" w:sz="4" w:space="0" w:color="auto"/>
            </w:tcBorders>
            <w:shd w:val="clear" w:color="auto" w:fill="DEEAF6" w:themeFill="accent5" w:themeFillTint="33"/>
          </w:tcPr>
          <w:p w14:paraId="300B2BDB" w14:textId="02585A37" w:rsidR="007942FF" w:rsidRPr="0054423E" w:rsidRDefault="0043575A" w:rsidP="007942FF">
            <w:pPr>
              <w:spacing w:line="240" w:lineRule="auto"/>
              <w:jc w:val="center"/>
              <w:rPr>
                <w:rFonts w:cstheme="minorHAnsi"/>
                <w:bCs/>
                <w:color w:val="538135" w:themeColor="accent6" w:themeShade="BF"/>
                <w:sz w:val="20"/>
                <w:szCs w:val="20"/>
              </w:rPr>
            </w:pPr>
            <w:r w:rsidRPr="0054423E">
              <w:rPr>
                <w:rFonts w:cstheme="minorHAnsi"/>
                <w:bCs/>
                <w:color w:val="538135" w:themeColor="accent6" w:themeShade="BF"/>
                <w:sz w:val="20"/>
                <w:szCs w:val="20"/>
              </w:rPr>
              <w:t>15 years</w:t>
            </w:r>
            <w:r w:rsidR="00D44219" w:rsidRPr="0054423E">
              <w:rPr>
                <w:rFonts w:cstheme="minorHAnsi"/>
                <w:bCs/>
                <w:color w:val="538135" w:themeColor="accent6" w:themeShade="BF"/>
                <w:sz w:val="20"/>
                <w:szCs w:val="20"/>
                <w:vertAlign w:val="superscript"/>
              </w:rPr>
              <w:t>2</w:t>
            </w:r>
            <w:r w:rsidRPr="0054423E">
              <w:rPr>
                <w:rFonts w:cstheme="minorHAnsi"/>
                <w:bCs/>
                <w:color w:val="538135" w:themeColor="accent6" w:themeShade="BF"/>
                <w:sz w:val="20"/>
                <w:szCs w:val="20"/>
              </w:rPr>
              <w:t xml:space="preserve"> </w:t>
            </w:r>
          </w:p>
        </w:tc>
      </w:tr>
      <w:tr w:rsidR="0054423E" w:rsidRPr="007A6E8E" w14:paraId="195556CB" w14:textId="379E3797" w:rsidTr="0054423E">
        <w:trPr>
          <w:trHeight w:val="542"/>
        </w:trPr>
        <w:tc>
          <w:tcPr>
            <w:tcW w:w="2088" w:type="dxa"/>
            <w:shd w:val="clear" w:color="auto" w:fill="FFF2CC" w:themeFill="accent4" w:themeFillTint="33"/>
          </w:tcPr>
          <w:p w14:paraId="37D13036" w14:textId="2CFF8B7D" w:rsidR="007942FF" w:rsidRPr="00841E52" w:rsidRDefault="007942FF" w:rsidP="00F20100">
            <w:pPr>
              <w:spacing w:line="240" w:lineRule="auto"/>
              <w:rPr>
                <w:rFonts w:cstheme="minorHAnsi"/>
                <w:color w:val="000000"/>
                <w:sz w:val="20"/>
                <w:szCs w:val="20"/>
              </w:rPr>
            </w:pPr>
            <w:r w:rsidRPr="00841E52">
              <w:rPr>
                <w:rFonts w:cstheme="minorHAnsi"/>
                <w:color w:val="000000"/>
                <w:sz w:val="20"/>
                <w:szCs w:val="20"/>
              </w:rPr>
              <w:t>Ag Forest Buffer</w:t>
            </w:r>
            <w:r w:rsidR="0070713A" w:rsidRPr="00841E52">
              <w:rPr>
                <w:rFonts w:cstheme="minorHAnsi"/>
                <w:color w:val="000000"/>
                <w:sz w:val="20"/>
                <w:szCs w:val="20"/>
              </w:rPr>
              <w:t xml:space="preserve"> </w:t>
            </w:r>
            <w:r w:rsidRPr="00841E52">
              <w:rPr>
                <w:rFonts w:cstheme="minorHAnsi"/>
                <w:bCs/>
                <w:sz w:val="20"/>
                <w:szCs w:val="20"/>
              </w:rPr>
              <w:t>(w/ fencing- pasture)</w:t>
            </w:r>
          </w:p>
        </w:tc>
        <w:tc>
          <w:tcPr>
            <w:tcW w:w="1057" w:type="dxa"/>
            <w:shd w:val="clear" w:color="auto" w:fill="FFF2CC" w:themeFill="accent4" w:themeFillTint="33"/>
          </w:tcPr>
          <w:p w14:paraId="6F33468E" w14:textId="4CFE6E5B" w:rsidR="007942FF" w:rsidRPr="00841E52" w:rsidRDefault="007942FF" w:rsidP="00F20100">
            <w:pPr>
              <w:spacing w:line="240" w:lineRule="auto"/>
              <w:rPr>
                <w:rFonts w:cstheme="minorHAnsi"/>
                <w:bCs/>
                <w:sz w:val="20"/>
                <w:szCs w:val="20"/>
              </w:rPr>
            </w:pPr>
            <w:r w:rsidRPr="00841E52">
              <w:rPr>
                <w:rFonts w:cstheme="minorHAnsi"/>
                <w:bCs/>
                <w:sz w:val="20"/>
                <w:szCs w:val="20"/>
              </w:rPr>
              <w:t>30 years</w:t>
            </w:r>
            <w:r w:rsidR="0043575A" w:rsidRPr="00841E52">
              <w:rPr>
                <w:rFonts w:cstheme="minorHAnsi"/>
                <w:bCs/>
                <w:sz w:val="20"/>
                <w:szCs w:val="20"/>
                <w:vertAlign w:val="superscript"/>
              </w:rPr>
              <w:t>1</w:t>
            </w:r>
          </w:p>
        </w:tc>
        <w:tc>
          <w:tcPr>
            <w:tcW w:w="1080" w:type="dxa"/>
            <w:tcBorders>
              <w:right w:val="double" w:sz="4" w:space="0" w:color="auto"/>
            </w:tcBorders>
            <w:shd w:val="clear" w:color="auto" w:fill="FFF2CC" w:themeFill="accent4" w:themeFillTint="33"/>
          </w:tcPr>
          <w:p w14:paraId="1D26A59B" w14:textId="315C4C2E" w:rsidR="007942FF" w:rsidRPr="00841E52" w:rsidRDefault="00E507F1" w:rsidP="0043575A">
            <w:pPr>
              <w:spacing w:line="240" w:lineRule="auto"/>
              <w:rPr>
                <w:rFonts w:cstheme="minorHAnsi"/>
                <w:bCs/>
                <w:sz w:val="20"/>
                <w:szCs w:val="20"/>
              </w:rPr>
            </w:pPr>
            <w:r w:rsidRPr="00841E52">
              <w:rPr>
                <w:rFonts w:cstheme="minorHAnsi"/>
                <w:bCs/>
                <w:sz w:val="20"/>
                <w:szCs w:val="20"/>
              </w:rPr>
              <w:t>7</w:t>
            </w:r>
            <w:r w:rsidR="0043575A" w:rsidRPr="00841E52">
              <w:rPr>
                <w:rFonts w:cstheme="minorHAnsi"/>
                <w:bCs/>
                <w:sz w:val="20"/>
                <w:szCs w:val="20"/>
              </w:rPr>
              <w:t>0 years</w:t>
            </w:r>
          </w:p>
        </w:tc>
        <w:tc>
          <w:tcPr>
            <w:tcW w:w="990" w:type="dxa"/>
            <w:tcBorders>
              <w:left w:val="double" w:sz="4" w:space="0" w:color="auto"/>
            </w:tcBorders>
            <w:shd w:val="clear" w:color="auto" w:fill="E2EFD9" w:themeFill="accent6" w:themeFillTint="33"/>
          </w:tcPr>
          <w:p w14:paraId="6EABF410" w14:textId="25C26FF9" w:rsidR="007942FF" w:rsidRPr="00841E52" w:rsidRDefault="007942FF" w:rsidP="00F20100">
            <w:pPr>
              <w:spacing w:line="240" w:lineRule="auto"/>
              <w:rPr>
                <w:rFonts w:cstheme="minorHAnsi"/>
                <w:bCs/>
                <w:sz w:val="20"/>
                <w:szCs w:val="20"/>
              </w:rPr>
            </w:pPr>
            <w:r w:rsidRPr="00841E52">
              <w:rPr>
                <w:rFonts w:cstheme="minorHAnsi"/>
                <w:bCs/>
                <w:sz w:val="20"/>
                <w:szCs w:val="20"/>
              </w:rPr>
              <w:t>10 years</w:t>
            </w:r>
            <w:r w:rsidR="00D44219" w:rsidRPr="00841E52">
              <w:rPr>
                <w:rFonts w:cstheme="minorHAnsi"/>
                <w:bCs/>
                <w:sz w:val="20"/>
                <w:szCs w:val="20"/>
                <w:vertAlign w:val="superscript"/>
              </w:rPr>
              <w:t>1</w:t>
            </w:r>
          </w:p>
        </w:tc>
        <w:tc>
          <w:tcPr>
            <w:tcW w:w="1980" w:type="dxa"/>
            <w:shd w:val="clear" w:color="auto" w:fill="E2EFD9" w:themeFill="accent6" w:themeFillTint="33"/>
          </w:tcPr>
          <w:p w14:paraId="55BEF1F6" w14:textId="77777777" w:rsidR="007942FF" w:rsidRPr="00841E52" w:rsidRDefault="007942FF" w:rsidP="00F20100">
            <w:pPr>
              <w:spacing w:line="240" w:lineRule="auto"/>
              <w:rPr>
                <w:rFonts w:cstheme="minorHAnsi"/>
                <w:bCs/>
                <w:sz w:val="20"/>
                <w:szCs w:val="20"/>
              </w:rPr>
            </w:pPr>
            <w:r w:rsidRPr="00841E52">
              <w:rPr>
                <w:rFonts w:cstheme="minorHAnsi"/>
                <w:bCs/>
                <w:sz w:val="20"/>
                <w:szCs w:val="20"/>
              </w:rPr>
              <w:t>15 years</w:t>
            </w:r>
          </w:p>
        </w:tc>
        <w:tc>
          <w:tcPr>
            <w:tcW w:w="2340" w:type="dxa"/>
            <w:shd w:val="clear" w:color="auto" w:fill="E2EFD9" w:themeFill="accent6" w:themeFillTint="33"/>
          </w:tcPr>
          <w:p w14:paraId="4BC77D30" w14:textId="431A4AA8" w:rsidR="007942FF" w:rsidRPr="0054423E" w:rsidRDefault="0043575A" w:rsidP="007942FF">
            <w:pPr>
              <w:spacing w:line="240" w:lineRule="auto"/>
              <w:jc w:val="center"/>
              <w:rPr>
                <w:rFonts w:cstheme="minorHAnsi"/>
                <w:bCs/>
                <w:color w:val="538135" w:themeColor="accent6" w:themeShade="BF"/>
                <w:sz w:val="20"/>
                <w:szCs w:val="20"/>
              </w:rPr>
            </w:pPr>
            <w:r w:rsidRPr="0054423E">
              <w:rPr>
                <w:rFonts w:cstheme="minorHAnsi"/>
                <w:bCs/>
                <w:color w:val="538135" w:themeColor="accent6" w:themeShade="BF"/>
                <w:sz w:val="20"/>
                <w:szCs w:val="20"/>
              </w:rPr>
              <w:t xml:space="preserve"> 15 years</w:t>
            </w:r>
            <w:r w:rsidR="00D44219" w:rsidRPr="0054423E">
              <w:rPr>
                <w:rFonts w:cstheme="minorHAnsi"/>
                <w:bCs/>
                <w:color w:val="538135" w:themeColor="accent6" w:themeShade="BF"/>
                <w:sz w:val="20"/>
                <w:szCs w:val="20"/>
                <w:vertAlign w:val="superscript"/>
              </w:rPr>
              <w:t>2</w:t>
            </w:r>
          </w:p>
        </w:tc>
      </w:tr>
      <w:tr w:rsidR="007A6E8E" w:rsidRPr="007A6E8E" w14:paraId="45C7A1D2" w14:textId="3F1A7267" w:rsidTr="0054423E">
        <w:trPr>
          <w:trHeight w:val="329"/>
        </w:trPr>
        <w:tc>
          <w:tcPr>
            <w:tcW w:w="2088" w:type="dxa"/>
            <w:tcBorders>
              <w:bottom w:val="single" w:sz="4" w:space="0" w:color="auto"/>
            </w:tcBorders>
            <w:shd w:val="clear" w:color="auto" w:fill="DEEAF6" w:themeFill="accent5" w:themeFillTint="33"/>
          </w:tcPr>
          <w:p w14:paraId="79EF56DA" w14:textId="77777777" w:rsidR="007942FF" w:rsidRPr="00841E52" w:rsidRDefault="007942FF" w:rsidP="00F20100">
            <w:pPr>
              <w:spacing w:line="240" w:lineRule="auto"/>
              <w:rPr>
                <w:rFonts w:cstheme="minorHAnsi"/>
                <w:bCs/>
                <w:sz w:val="20"/>
                <w:szCs w:val="20"/>
              </w:rPr>
            </w:pPr>
            <w:r w:rsidRPr="00841E52">
              <w:rPr>
                <w:rFonts w:cstheme="minorHAnsi"/>
                <w:color w:val="000000"/>
                <w:sz w:val="20"/>
                <w:szCs w:val="20"/>
              </w:rPr>
              <w:t>Urban Forest Buffer</w:t>
            </w:r>
          </w:p>
        </w:tc>
        <w:tc>
          <w:tcPr>
            <w:tcW w:w="1057" w:type="dxa"/>
            <w:tcBorders>
              <w:bottom w:val="single" w:sz="4" w:space="0" w:color="auto"/>
            </w:tcBorders>
            <w:shd w:val="clear" w:color="auto" w:fill="DEEAF6" w:themeFill="accent5" w:themeFillTint="33"/>
          </w:tcPr>
          <w:p w14:paraId="6DE3D05E" w14:textId="140B53A8" w:rsidR="007942FF" w:rsidRPr="00841E52" w:rsidRDefault="007942FF" w:rsidP="00F20100">
            <w:pPr>
              <w:spacing w:line="240" w:lineRule="auto"/>
              <w:rPr>
                <w:rFonts w:cstheme="minorHAnsi"/>
                <w:bCs/>
                <w:sz w:val="20"/>
                <w:szCs w:val="20"/>
              </w:rPr>
            </w:pPr>
            <w:r w:rsidRPr="00841E52">
              <w:rPr>
                <w:rFonts w:cstheme="minorHAnsi"/>
                <w:bCs/>
                <w:sz w:val="20"/>
                <w:szCs w:val="20"/>
              </w:rPr>
              <w:t>40 years</w:t>
            </w:r>
            <w:r w:rsidR="0043575A" w:rsidRPr="00841E52">
              <w:rPr>
                <w:rFonts w:cstheme="minorHAnsi"/>
                <w:bCs/>
                <w:sz w:val="20"/>
                <w:szCs w:val="20"/>
                <w:vertAlign w:val="superscript"/>
              </w:rPr>
              <w:t>1</w:t>
            </w:r>
          </w:p>
        </w:tc>
        <w:tc>
          <w:tcPr>
            <w:tcW w:w="1080" w:type="dxa"/>
            <w:tcBorders>
              <w:bottom w:val="single" w:sz="4" w:space="0" w:color="auto"/>
              <w:right w:val="double" w:sz="4" w:space="0" w:color="auto"/>
            </w:tcBorders>
            <w:shd w:val="clear" w:color="auto" w:fill="DEEAF6" w:themeFill="accent5" w:themeFillTint="33"/>
          </w:tcPr>
          <w:p w14:paraId="57BDAAFF" w14:textId="76470539" w:rsidR="007942FF" w:rsidRPr="00841E52" w:rsidRDefault="00E507F1" w:rsidP="00F20100">
            <w:pPr>
              <w:spacing w:line="240" w:lineRule="auto"/>
              <w:rPr>
                <w:rFonts w:cstheme="minorHAnsi"/>
                <w:bCs/>
                <w:i/>
                <w:iCs/>
                <w:sz w:val="20"/>
                <w:szCs w:val="20"/>
              </w:rPr>
            </w:pPr>
            <w:r w:rsidRPr="00841E52">
              <w:rPr>
                <w:rFonts w:cstheme="minorHAnsi"/>
                <w:bCs/>
                <w:i/>
                <w:iCs/>
                <w:sz w:val="20"/>
                <w:szCs w:val="20"/>
              </w:rPr>
              <w:t>No change</w:t>
            </w:r>
          </w:p>
        </w:tc>
        <w:tc>
          <w:tcPr>
            <w:tcW w:w="990" w:type="dxa"/>
            <w:tcBorders>
              <w:left w:val="double" w:sz="4" w:space="0" w:color="auto"/>
            </w:tcBorders>
            <w:shd w:val="clear" w:color="auto" w:fill="DEEAF6" w:themeFill="accent5" w:themeFillTint="33"/>
          </w:tcPr>
          <w:p w14:paraId="2255D46D" w14:textId="6E6C3DD6" w:rsidR="007942FF" w:rsidRPr="00841E52" w:rsidRDefault="007942FF" w:rsidP="00F20100">
            <w:pPr>
              <w:spacing w:line="240" w:lineRule="auto"/>
              <w:rPr>
                <w:rFonts w:cstheme="minorHAnsi"/>
                <w:bCs/>
                <w:sz w:val="20"/>
                <w:szCs w:val="20"/>
              </w:rPr>
            </w:pPr>
            <w:r w:rsidRPr="00841E52">
              <w:rPr>
                <w:rFonts w:cstheme="minorHAnsi"/>
                <w:bCs/>
                <w:sz w:val="20"/>
                <w:szCs w:val="20"/>
              </w:rPr>
              <w:t>10 years</w:t>
            </w:r>
            <w:r w:rsidR="00D44219" w:rsidRPr="00841E52">
              <w:rPr>
                <w:rFonts w:cstheme="minorHAnsi"/>
                <w:bCs/>
                <w:sz w:val="20"/>
                <w:szCs w:val="20"/>
                <w:vertAlign w:val="superscript"/>
              </w:rPr>
              <w:t>1</w:t>
            </w:r>
          </w:p>
        </w:tc>
        <w:tc>
          <w:tcPr>
            <w:tcW w:w="1980" w:type="dxa"/>
            <w:shd w:val="clear" w:color="auto" w:fill="FFF2CC" w:themeFill="accent4" w:themeFillTint="33"/>
          </w:tcPr>
          <w:p w14:paraId="51C320A1" w14:textId="2670846F" w:rsidR="007942FF" w:rsidRPr="00841E52" w:rsidRDefault="00E507F1" w:rsidP="00F20100">
            <w:pPr>
              <w:spacing w:line="240" w:lineRule="auto"/>
              <w:rPr>
                <w:rFonts w:cstheme="minorHAnsi"/>
                <w:bCs/>
                <w:sz w:val="20"/>
                <w:szCs w:val="20"/>
              </w:rPr>
            </w:pPr>
            <w:r w:rsidRPr="00841E52">
              <w:rPr>
                <w:rFonts w:cstheme="minorHAnsi"/>
                <w:bCs/>
                <w:sz w:val="20"/>
                <w:szCs w:val="20"/>
              </w:rPr>
              <w:t>15 years</w:t>
            </w:r>
          </w:p>
        </w:tc>
        <w:tc>
          <w:tcPr>
            <w:tcW w:w="2340" w:type="dxa"/>
            <w:shd w:val="clear" w:color="auto" w:fill="DEEAF6" w:themeFill="accent5" w:themeFillTint="33"/>
          </w:tcPr>
          <w:p w14:paraId="74A3BCB2" w14:textId="69B8953C" w:rsidR="007942FF" w:rsidRPr="0054423E" w:rsidRDefault="0043575A" w:rsidP="007942FF">
            <w:pPr>
              <w:spacing w:line="240" w:lineRule="auto"/>
              <w:jc w:val="center"/>
              <w:rPr>
                <w:rFonts w:cstheme="minorHAnsi"/>
                <w:bCs/>
                <w:color w:val="538135" w:themeColor="accent6" w:themeShade="BF"/>
                <w:sz w:val="20"/>
                <w:szCs w:val="20"/>
              </w:rPr>
            </w:pPr>
            <w:r w:rsidRPr="0054423E">
              <w:rPr>
                <w:rFonts w:cstheme="minorHAnsi"/>
                <w:bCs/>
                <w:color w:val="538135" w:themeColor="accent6" w:themeShade="BF"/>
                <w:sz w:val="20"/>
                <w:szCs w:val="20"/>
              </w:rPr>
              <w:t xml:space="preserve"> 15 years</w:t>
            </w:r>
            <w:r w:rsidR="00D44219" w:rsidRPr="0054423E">
              <w:rPr>
                <w:rFonts w:cstheme="minorHAnsi"/>
                <w:bCs/>
                <w:color w:val="538135" w:themeColor="accent6" w:themeShade="BF"/>
                <w:sz w:val="20"/>
                <w:szCs w:val="20"/>
                <w:vertAlign w:val="superscript"/>
              </w:rPr>
              <w:t>2</w:t>
            </w:r>
          </w:p>
        </w:tc>
      </w:tr>
      <w:tr w:rsidR="007A6E8E" w:rsidRPr="007A6E8E" w14:paraId="2427F531" w14:textId="7860C56F" w:rsidTr="0054423E">
        <w:trPr>
          <w:trHeight w:val="518"/>
        </w:trPr>
        <w:tc>
          <w:tcPr>
            <w:tcW w:w="2088" w:type="dxa"/>
            <w:shd w:val="clear" w:color="auto" w:fill="FFF2CC" w:themeFill="accent4" w:themeFillTint="33"/>
          </w:tcPr>
          <w:p w14:paraId="1C0F4E9C" w14:textId="77777777" w:rsidR="007942FF" w:rsidRPr="00841E52" w:rsidRDefault="007942FF" w:rsidP="00F20100">
            <w:pPr>
              <w:spacing w:line="240" w:lineRule="auto"/>
              <w:rPr>
                <w:rFonts w:cstheme="minorHAnsi"/>
                <w:color w:val="000000"/>
                <w:sz w:val="20"/>
                <w:szCs w:val="20"/>
              </w:rPr>
            </w:pPr>
            <w:r w:rsidRPr="00841E52">
              <w:rPr>
                <w:rFonts w:cstheme="minorHAnsi"/>
                <w:color w:val="000000"/>
                <w:sz w:val="20"/>
                <w:szCs w:val="20"/>
              </w:rPr>
              <w:t xml:space="preserve">Ag Tree Planting </w:t>
            </w:r>
          </w:p>
        </w:tc>
        <w:tc>
          <w:tcPr>
            <w:tcW w:w="1057" w:type="dxa"/>
            <w:shd w:val="clear" w:color="auto" w:fill="FFF2CC" w:themeFill="accent4" w:themeFillTint="33"/>
          </w:tcPr>
          <w:p w14:paraId="1247770A" w14:textId="50A4B849" w:rsidR="007942FF" w:rsidRPr="00841E52" w:rsidRDefault="007942FF" w:rsidP="00F20100">
            <w:pPr>
              <w:spacing w:line="240" w:lineRule="auto"/>
              <w:rPr>
                <w:rFonts w:cstheme="minorHAnsi"/>
                <w:bCs/>
                <w:sz w:val="20"/>
                <w:szCs w:val="20"/>
              </w:rPr>
            </w:pPr>
            <w:r w:rsidRPr="00841E52">
              <w:rPr>
                <w:rFonts w:cstheme="minorHAnsi"/>
                <w:bCs/>
                <w:sz w:val="20"/>
                <w:szCs w:val="20"/>
              </w:rPr>
              <w:t>40 years</w:t>
            </w:r>
            <w:r w:rsidR="0043575A" w:rsidRPr="00841E52">
              <w:rPr>
                <w:rFonts w:cstheme="minorHAnsi"/>
                <w:bCs/>
                <w:sz w:val="20"/>
                <w:szCs w:val="20"/>
                <w:vertAlign w:val="superscript"/>
              </w:rPr>
              <w:t>1</w:t>
            </w:r>
          </w:p>
        </w:tc>
        <w:tc>
          <w:tcPr>
            <w:tcW w:w="1080" w:type="dxa"/>
            <w:tcBorders>
              <w:right w:val="double" w:sz="4" w:space="0" w:color="auto"/>
            </w:tcBorders>
            <w:shd w:val="clear" w:color="auto" w:fill="FFF2CC" w:themeFill="accent4" w:themeFillTint="33"/>
          </w:tcPr>
          <w:p w14:paraId="5AAE6F3B" w14:textId="165A1691" w:rsidR="007942FF" w:rsidRPr="00841E52" w:rsidRDefault="00E507F1" w:rsidP="00F20100">
            <w:pPr>
              <w:spacing w:line="240" w:lineRule="auto"/>
              <w:rPr>
                <w:rFonts w:cstheme="minorHAnsi"/>
                <w:bCs/>
                <w:i/>
                <w:iCs/>
                <w:sz w:val="20"/>
                <w:szCs w:val="20"/>
                <w:highlight w:val="lightGray"/>
              </w:rPr>
            </w:pPr>
            <w:r w:rsidRPr="00841E52">
              <w:rPr>
                <w:rFonts w:cstheme="minorHAnsi"/>
                <w:bCs/>
                <w:i/>
                <w:iCs/>
                <w:sz w:val="20"/>
                <w:szCs w:val="20"/>
              </w:rPr>
              <w:t>No change</w:t>
            </w:r>
          </w:p>
        </w:tc>
        <w:tc>
          <w:tcPr>
            <w:tcW w:w="990" w:type="dxa"/>
            <w:tcBorders>
              <w:left w:val="double" w:sz="4" w:space="0" w:color="auto"/>
            </w:tcBorders>
            <w:shd w:val="clear" w:color="auto" w:fill="DEEAF6" w:themeFill="accent5" w:themeFillTint="33"/>
          </w:tcPr>
          <w:p w14:paraId="70EE17E7" w14:textId="5144C48D" w:rsidR="007942FF" w:rsidRPr="00841E52" w:rsidRDefault="009136CB" w:rsidP="0043575A">
            <w:pPr>
              <w:spacing w:line="240" w:lineRule="auto"/>
              <w:rPr>
                <w:rFonts w:cstheme="minorHAnsi"/>
                <w:bCs/>
                <w:sz w:val="20"/>
                <w:szCs w:val="20"/>
              </w:rPr>
            </w:pPr>
            <w:r w:rsidRPr="00841E52">
              <w:rPr>
                <w:rFonts w:cstheme="minorHAnsi"/>
                <w:bCs/>
                <w:sz w:val="20"/>
                <w:szCs w:val="20"/>
              </w:rPr>
              <w:t xml:space="preserve">10 </w:t>
            </w:r>
            <w:r w:rsidR="007942FF" w:rsidRPr="00841E52">
              <w:rPr>
                <w:rFonts w:cstheme="minorHAnsi"/>
                <w:bCs/>
                <w:sz w:val="20"/>
                <w:szCs w:val="20"/>
              </w:rPr>
              <w:t xml:space="preserve">years </w:t>
            </w:r>
          </w:p>
        </w:tc>
        <w:tc>
          <w:tcPr>
            <w:tcW w:w="1980" w:type="dxa"/>
            <w:shd w:val="clear" w:color="auto" w:fill="FFF2CC" w:themeFill="accent4" w:themeFillTint="33"/>
          </w:tcPr>
          <w:p w14:paraId="7917E137" w14:textId="53ADD40A" w:rsidR="007942FF" w:rsidRPr="00841E52" w:rsidRDefault="00E507F1" w:rsidP="00F20100">
            <w:pPr>
              <w:spacing w:line="240" w:lineRule="auto"/>
              <w:rPr>
                <w:rFonts w:cstheme="minorHAnsi"/>
                <w:bCs/>
                <w:sz w:val="20"/>
                <w:szCs w:val="20"/>
              </w:rPr>
            </w:pPr>
            <w:r w:rsidRPr="00841E52">
              <w:rPr>
                <w:rFonts w:cstheme="minorHAnsi"/>
                <w:bCs/>
                <w:sz w:val="20"/>
                <w:szCs w:val="20"/>
              </w:rPr>
              <w:t>15 years</w:t>
            </w:r>
            <w:r w:rsidR="0054423E">
              <w:rPr>
                <w:rFonts w:cstheme="minorHAnsi"/>
                <w:bCs/>
                <w:sz w:val="20"/>
                <w:szCs w:val="20"/>
              </w:rPr>
              <w:t>,</w:t>
            </w:r>
            <w:r w:rsidR="0054423E" w:rsidRPr="00841E52">
              <w:rPr>
                <w:rFonts w:cstheme="minorHAnsi"/>
                <w:bCs/>
                <w:sz w:val="20"/>
                <w:szCs w:val="20"/>
              </w:rPr>
              <w:t xml:space="preserve"> </w:t>
            </w:r>
            <w:r w:rsidR="0054423E" w:rsidRPr="00841E52">
              <w:rPr>
                <w:rFonts w:cstheme="minorHAnsi"/>
                <w:bCs/>
                <w:sz w:val="20"/>
                <w:szCs w:val="20"/>
              </w:rPr>
              <w:t>then modeled as Land Use</w:t>
            </w:r>
          </w:p>
        </w:tc>
        <w:tc>
          <w:tcPr>
            <w:tcW w:w="2340" w:type="dxa"/>
            <w:shd w:val="clear" w:color="auto" w:fill="DEEAF6" w:themeFill="accent5" w:themeFillTint="33"/>
          </w:tcPr>
          <w:p w14:paraId="33833613" w14:textId="08B3C6A8" w:rsidR="007942FF" w:rsidRPr="0054423E" w:rsidRDefault="00E507F1" w:rsidP="007942FF">
            <w:pPr>
              <w:spacing w:line="240" w:lineRule="auto"/>
              <w:jc w:val="center"/>
              <w:rPr>
                <w:rFonts w:cstheme="minorHAnsi"/>
                <w:bCs/>
                <w:color w:val="538135" w:themeColor="accent6" w:themeShade="BF"/>
                <w:sz w:val="20"/>
                <w:szCs w:val="20"/>
              </w:rPr>
            </w:pPr>
            <w:r w:rsidRPr="0054423E">
              <w:rPr>
                <w:rFonts w:cstheme="minorHAnsi"/>
                <w:bCs/>
                <w:color w:val="538135" w:themeColor="accent6" w:themeShade="BF"/>
                <w:sz w:val="20"/>
                <w:szCs w:val="20"/>
              </w:rPr>
              <w:t>15 years</w:t>
            </w:r>
            <w:r w:rsidR="0043575A" w:rsidRPr="0054423E">
              <w:rPr>
                <w:rFonts w:cstheme="minorHAnsi"/>
                <w:bCs/>
                <w:color w:val="538135" w:themeColor="accent6" w:themeShade="BF"/>
                <w:sz w:val="20"/>
                <w:szCs w:val="20"/>
              </w:rPr>
              <w:t xml:space="preserve"> </w:t>
            </w:r>
          </w:p>
        </w:tc>
      </w:tr>
      <w:tr w:rsidR="007A6E8E" w:rsidRPr="007A6E8E" w14:paraId="7525F662" w14:textId="4BBE4F64" w:rsidTr="0054423E">
        <w:trPr>
          <w:trHeight w:val="542"/>
        </w:trPr>
        <w:tc>
          <w:tcPr>
            <w:tcW w:w="2088" w:type="dxa"/>
            <w:tcBorders>
              <w:bottom w:val="single" w:sz="4" w:space="0" w:color="auto"/>
            </w:tcBorders>
            <w:shd w:val="clear" w:color="auto" w:fill="DEEAF6" w:themeFill="accent5" w:themeFillTint="33"/>
          </w:tcPr>
          <w:p w14:paraId="2BF6162B" w14:textId="77777777" w:rsidR="007942FF" w:rsidRPr="00841E52" w:rsidRDefault="007942FF" w:rsidP="00F20100">
            <w:pPr>
              <w:spacing w:line="240" w:lineRule="auto"/>
              <w:rPr>
                <w:rFonts w:cstheme="minorHAnsi"/>
                <w:bCs/>
                <w:sz w:val="20"/>
                <w:szCs w:val="20"/>
              </w:rPr>
            </w:pPr>
            <w:r w:rsidRPr="00841E52">
              <w:rPr>
                <w:rFonts w:cstheme="minorHAnsi"/>
                <w:color w:val="000000"/>
                <w:sz w:val="20"/>
                <w:szCs w:val="20"/>
              </w:rPr>
              <w:t>Narrow forest buffers (w/o fencing)</w:t>
            </w:r>
          </w:p>
        </w:tc>
        <w:tc>
          <w:tcPr>
            <w:tcW w:w="1057" w:type="dxa"/>
            <w:tcBorders>
              <w:bottom w:val="single" w:sz="4" w:space="0" w:color="auto"/>
            </w:tcBorders>
            <w:shd w:val="clear" w:color="auto" w:fill="DEEAF6" w:themeFill="accent5" w:themeFillTint="33"/>
          </w:tcPr>
          <w:p w14:paraId="1ABD4065" w14:textId="313D85B5" w:rsidR="007942FF" w:rsidRPr="00841E52" w:rsidRDefault="007942FF" w:rsidP="00F20100">
            <w:pPr>
              <w:spacing w:line="240" w:lineRule="auto"/>
              <w:rPr>
                <w:rFonts w:cstheme="minorHAnsi"/>
                <w:bCs/>
                <w:sz w:val="20"/>
                <w:szCs w:val="20"/>
              </w:rPr>
            </w:pPr>
            <w:r w:rsidRPr="00841E52">
              <w:rPr>
                <w:rFonts w:cstheme="minorHAnsi"/>
                <w:bCs/>
                <w:sz w:val="20"/>
                <w:szCs w:val="20"/>
              </w:rPr>
              <w:t>40 years</w:t>
            </w:r>
            <w:r w:rsidR="0043575A" w:rsidRPr="00841E52">
              <w:rPr>
                <w:rFonts w:cstheme="minorHAnsi"/>
                <w:bCs/>
                <w:sz w:val="20"/>
                <w:szCs w:val="20"/>
                <w:vertAlign w:val="superscript"/>
              </w:rPr>
              <w:t>1</w:t>
            </w:r>
          </w:p>
        </w:tc>
        <w:tc>
          <w:tcPr>
            <w:tcW w:w="1080" w:type="dxa"/>
            <w:tcBorders>
              <w:bottom w:val="single" w:sz="4" w:space="0" w:color="auto"/>
              <w:right w:val="double" w:sz="4" w:space="0" w:color="auto"/>
            </w:tcBorders>
            <w:shd w:val="clear" w:color="auto" w:fill="DEEAF6" w:themeFill="accent5" w:themeFillTint="33"/>
          </w:tcPr>
          <w:p w14:paraId="695C352F" w14:textId="61208FC2" w:rsidR="007942FF" w:rsidRPr="00841E52" w:rsidRDefault="00E507F1" w:rsidP="00F20100">
            <w:pPr>
              <w:spacing w:line="240" w:lineRule="auto"/>
              <w:rPr>
                <w:rFonts w:cstheme="minorHAnsi"/>
                <w:bCs/>
                <w:i/>
                <w:iCs/>
                <w:sz w:val="20"/>
                <w:szCs w:val="20"/>
              </w:rPr>
            </w:pPr>
            <w:r w:rsidRPr="00841E52">
              <w:rPr>
                <w:rFonts w:cstheme="minorHAnsi"/>
                <w:bCs/>
                <w:i/>
                <w:iCs/>
                <w:sz w:val="20"/>
                <w:szCs w:val="20"/>
              </w:rPr>
              <w:t>No change</w:t>
            </w:r>
          </w:p>
        </w:tc>
        <w:tc>
          <w:tcPr>
            <w:tcW w:w="990" w:type="dxa"/>
            <w:tcBorders>
              <w:left w:val="double" w:sz="4" w:space="0" w:color="auto"/>
              <w:bottom w:val="single" w:sz="4" w:space="0" w:color="auto"/>
            </w:tcBorders>
            <w:shd w:val="clear" w:color="auto" w:fill="DEEAF6" w:themeFill="accent5" w:themeFillTint="33"/>
            <w:vAlign w:val="center"/>
          </w:tcPr>
          <w:p w14:paraId="11714BC1" w14:textId="5013993A" w:rsidR="007942FF" w:rsidRPr="00841E52" w:rsidRDefault="009136CB" w:rsidP="0043575A">
            <w:pPr>
              <w:spacing w:line="240" w:lineRule="auto"/>
              <w:rPr>
                <w:rFonts w:cstheme="minorHAnsi"/>
                <w:bCs/>
                <w:sz w:val="20"/>
                <w:szCs w:val="20"/>
              </w:rPr>
            </w:pPr>
            <w:r w:rsidRPr="00841E52">
              <w:rPr>
                <w:rFonts w:cstheme="minorHAnsi"/>
                <w:bCs/>
                <w:sz w:val="20"/>
                <w:szCs w:val="20"/>
              </w:rPr>
              <w:t xml:space="preserve">10 </w:t>
            </w:r>
            <w:r w:rsidR="0043575A" w:rsidRPr="00841E52">
              <w:rPr>
                <w:rFonts w:cstheme="minorHAnsi"/>
                <w:bCs/>
                <w:sz w:val="20"/>
                <w:szCs w:val="20"/>
              </w:rPr>
              <w:t xml:space="preserve">years </w:t>
            </w:r>
          </w:p>
        </w:tc>
        <w:tc>
          <w:tcPr>
            <w:tcW w:w="1980" w:type="dxa"/>
            <w:tcBorders>
              <w:bottom w:val="single" w:sz="4" w:space="0" w:color="auto"/>
            </w:tcBorders>
            <w:shd w:val="clear" w:color="auto" w:fill="FFF2CC" w:themeFill="accent4" w:themeFillTint="33"/>
          </w:tcPr>
          <w:p w14:paraId="4273F25F" w14:textId="4EAC6351" w:rsidR="007942FF" w:rsidRPr="00841E52" w:rsidRDefault="0054423E" w:rsidP="00F20100">
            <w:pPr>
              <w:spacing w:line="240" w:lineRule="auto"/>
              <w:rPr>
                <w:rFonts w:cstheme="minorHAnsi"/>
                <w:bCs/>
                <w:sz w:val="20"/>
                <w:szCs w:val="20"/>
              </w:rPr>
            </w:pPr>
            <w:r w:rsidRPr="00841E52">
              <w:rPr>
                <w:rFonts w:cstheme="minorHAnsi"/>
                <w:bCs/>
                <w:sz w:val="20"/>
                <w:szCs w:val="20"/>
              </w:rPr>
              <w:t>15 years</w:t>
            </w:r>
            <w:r>
              <w:rPr>
                <w:rFonts w:cstheme="minorHAnsi"/>
                <w:bCs/>
                <w:sz w:val="20"/>
                <w:szCs w:val="20"/>
              </w:rPr>
              <w:t>,</w:t>
            </w:r>
            <w:r>
              <w:rPr>
                <w:rFonts w:cstheme="minorHAnsi"/>
                <w:bCs/>
                <w:sz w:val="20"/>
                <w:szCs w:val="20"/>
              </w:rPr>
              <w:t xml:space="preserve"> </w:t>
            </w:r>
            <w:r w:rsidRPr="00841E52">
              <w:rPr>
                <w:rFonts w:cstheme="minorHAnsi"/>
                <w:bCs/>
                <w:sz w:val="20"/>
                <w:szCs w:val="20"/>
              </w:rPr>
              <w:t>then modeled as Land Use</w:t>
            </w:r>
          </w:p>
        </w:tc>
        <w:tc>
          <w:tcPr>
            <w:tcW w:w="2340" w:type="dxa"/>
            <w:tcBorders>
              <w:bottom w:val="single" w:sz="4" w:space="0" w:color="auto"/>
            </w:tcBorders>
            <w:shd w:val="clear" w:color="auto" w:fill="DEEAF6" w:themeFill="accent5" w:themeFillTint="33"/>
          </w:tcPr>
          <w:p w14:paraId="5EF89D06" w14:textId="14CDE9EB" w:rsidR="007942FF" w:rsidRPr="0054423E" w:rsidRDefault="00E507F1" w:rsidP="007942FF">
            <w:pPr>
              <w:spacing w:line="240" w:lineRule="auto"/>
              <w:jc w:val="center"/>
              <w:rPr>
                <w:rFonts w:cstheme="minorHAnsi"/>
                <w:bCs/>
                <w:color w:val="538135" w:themeColor="accent6" w:themeShade="BF"/>
                <w:sz w:val="20"/>
                <w:szCs w:val="20"/>
              </w:rPr>
            </w:pPr>
            <w:r w:rsidRPr="0054423E">
              <w:rPr>
                <w:rFonts w:cstheme="minorHAnsi"/>
                <w:bCs/>
                <w:color w:val="538135" w:themeColor="accent6" w:themeShade="BF"/>
                <w:sz w:val="20"/>
                <w:szCs w:val="20"/>
              </w:rPr>
              <w:t>15 years</w:t>
            </w:r>
          </w:p>
        </w:tc>
      </w:tr>
      <w:tr w:rsidR="007A6E8E" w:rsidRPr="007A6E8E" w14:paraId="786D33DC" w14:textId="02ACC607" w:rsidTr="0054423E">
        <w:trPr>
          <w:trHeight w:val="518"/>
        </w:trPr>
        <w:tc>
          <w:tcPr>
            <w:tcW w:w="20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69FF91" w14:textId="77777777" w:rsidR="007942FF" w:rsidRPr="00841E52" w:rsidRDefault="007942FF" w:rsidP="00F20100">
            <w:pPr>
              <w:spacing w:line="240" w:lineRule="auto"/>
              <w:rPr>
                <w:rFonts w:cstheme="minorHAnsi"/>
                <w:color w:val="000000"/>
                <w:sz w:val="20"/>
                <w:szCs w:val="20"/>
              </w:rPr>
            </w:pPr>
            <w:r w:rsidRPr="00841E52">
              <w:rPr>
                <w:rFonts w:cstheme="minorHAnsi"/>
                <w:color w:val="000000"/>
                <w:sz w:val="20"/>
                <w:szCs w:val="20"/>
              </w:rPr>
              <w:t>Narrow forest buffers (w/ fencing)</w:t>
            </w:r>
          </w:p>
        </w:tc>
        <w:tc>
          <w:tcPr>
            <w:tcW w:w="105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7E4228" w14:textId="328B8F87" w:rsidR="007942FF" w:rsidRPr="00841E52" w:rsidRDefault="007942FF" w:rsidP="00F20100">
            <w:pPr>
              <w:spacing w:line="240" w:lineRule="auto"/>
              <w:rPr>
                <w:rFonts w:cstheme="minorHAnsi"/>
                <w:bCs/>
                <w:sz w:val="20"/>
                <w:szCs w:val="20"/>
              </w:rPr>
            </w:pPr>
            <w:r w:rsidRPr="00841E52">
              <w:rPr>
                <w:rFonts w:cstheme="minorHAnsi"/>
                <w:bCs/>
                <w:sz w:val="20"/>
                <w:szCs w:val="20"/>
              </w:rPr>
              <w:t>25 years</w:t>
            </w:r>
            <w:r w:rsidR="0043575A" w:rsidRPr="00841E52">
              <w:rPr>
                <w:rFonts w:cstheme="minorHAnsi"/>
                <w:bCs/>
                <w:sz w:val="20"/>
                <w:szCs w:val="20"/>
                <w:vertAlign w:val="superscript"/>
              </w:rPr>
              <w:t>1</w:t>
            </w:r>
          </w:p>
        </w:tc>
        <w:tc>
          <w:tcPr>
            <w:tcW w:w="1080" w:type="dxa"/>
            <w:tcBorders>
              <w:top w:val="single" w:sz="4" w:space="0" w:color="auto"/>
              <w:left w:val="single" w:sz="4" w:space="0" w:color="auto"/>
              <w:bottom w:val="single" w:sz="4" w:space="0" w:color="auto"/>
              <w:right w:val="double" w:sz="4" w:space="0" w:color="auto"/>
            </w:tcBorders>
            <w:shd w:val="clear" w:color="auto" w:fill="DEEAF6" w:themeFill="accent5" w:themeFillTint="33"/>
          </w:tcPr>
          <w:p w14:paraId="1BBCC243" w14:textId="0960D45F" w:rsidR="007942FF" w:rsidRPr="00841E52" w:rsidRDefault="00505D08" w:rsidP="00F20100">
            <w:pPr>
              <w:spacing w:line="240" w:lineRule="auto"/>
              <w:rPr>
                <w:rFonts w:cstheme="minorHAnsi"/>
                <w:bCs/>
                <w:sz w:val="20"/>
                <w:szCs w:val="20"/>
              </w:rPr>
            </w:pPr>
            <w:r w:rsidRPr="00841E52">
              <w:rPr>
                <w:rFonts w:cstheme="minorHAnsi"/>
                <w:bCs/>
                <w:sz w:val="20"/>
                <w:szCs w:val="20"/>
              </w:rPr>
              <w:t>40</w:t>
            </w:r>
            <w:r w:rsidR="007942FF" w:rsidRPr="00841E52">
              <w:rPr>
                <w:rFonts w:cstheme="minorHAnsi"/>
                <w:bCs/>
                <w:sz w:val="20"/>
                <w:szCs w:val="20"/>
              </w:rPr>
              <w:t xml:space="preserve"> years</w:t>
            </w:r>
          </w:p>
        </w:tc>
        <w:tc>
          <w:tcPr>
            <w:tcW w:w="990" w:type="dxa"/>
            <w:tcBorders>
              <w:top w:val="single" w:sz="4" w:space="0" w:color="auto"/>
              <w:left w:val="double" w:sz="4" w:space="0" w:color="auto"/>
              <w:bottom w:val="single" w:sz="4" w:space="0" w:color="auto"/>
              <w:right w:val="single" w:sz="4" w:space="0" w:color="auto"/>
            </w:tcBorders>
            <w:shd w:val="clear" w:color="auto" w:fill="DEEAF6" w:themeFill="accent5" w:themeFillTint="33"/>
            <w:vAlign w:val="center"/>
          </w:tcPr>
          <w:p w14:paraId="337553FD" w14:textId="242FEFCD" w:rsidR="007942FF" w:rsidRPr="00841E52" w:rsidRDefault="009136CB" w:rsidP="0043575A">
            <w:pPr>
              <w:spacing w:line="240" w:lineRule="auto"/>
              <w:rPr>
                <w:rFonts w:cstheme="minorHAnsi"/>
                <w:bCs/>
                <w:sz w:val="20"/>
                <w:szCs w:val="20"/>
              </w:rPr>
            </w:pPr>
            <w:r w:rsidRPr="00841E52">
              <w:rPr>
                <w:rFonts w:cstheme="minorHAnsi"/>
                <w:bCs/>
                <w:sz w:val="20"/>
                <w:szCs w:val="20"/>
              </w:rPr>
              <w:t xml:space="preserve">10 </w:t>
            </w:r>
            <w:r w:rsidR="0043575A" w:rsidRPr="00841E52">
              <w:rPr>
                <w:rFonts w:cstheme="minorHAnsi"/>
                <w:bCs/>
                <w:sz w:val="20"/>
                <w:szCs w:val="20"/>
              </w:rPr>
              <w:t xml:space="preserve">years </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23EDF9" w14:textId="466AF28B" w:rsidR="007942FF" w:rsidRPr="00841E52" w:rsidRDefault="0054423E" w:rsidP="00F20100">
            <w:pPr>
              <w:spacing w:line="240" w:lineRule="auto"/>
              <w:rPr>
                <w:rFonts w:cstheme="minorHAnsi"/>
                <w:bCs/>
                <w:sz w:val="20"/>
                <w:szCs w:val="20"/>
              </w:rPr>
            </w:pPr>
            <w:r w:rsidRPr="00841E52">
              <w:rPr>
                <w:rFonts w:cstheme="minorHAnsi"/>
                <w:bCs/>
                <w:sz w:val="20"/>
                <w:szCs w:val="20"/>
              </w:rPr>
              <w:t>15 years</w:t>
            </w:r>
            <w:r>
              <w:rPr>
                <w:rFonts w:cstheme="minorHAnsi"/>
                <w:bCs/>
                <w:sz w:val="20"/>
                <w:szCs w:val="20"/>
              </w:rPr>
              <w:t>,</w:t>
            </w:r>
            <w:r>
              <w:rPr>
                <w:rFonts w:cstheme="minorHAnsi"/>
                <w:bCs/>
                <w:sz w:val="20"/>
                <w:szCs w:val="20"/>
              </w:rPr>
              <w:t xml:space="preserve"> </w:t>
            </w:r>
            <w:r w:rsidRPr="00841E52">
              <w:rPr>
                <w:rFonts w:cstheme="minorHAnsi"/>
                <w:bCs/>
                <w:sz w:val="20"/>
                <w:szCs w:val="20"/>
              </w:rPr>
              <w:t>then modeled as Land Use</w:t>
            </w:r>
          </w:p>
        </w:tc>
        <w:tc>
          <w:tcPr>
            <w:tcW w:w="23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59BA9" w14:textId="7DDFEA5B" w:rsidR="007942FF" w:rsidRPr="0054423E" w:rsidRDefault="00E507F1" w:rsidP="007942FF">
            <w:pPr>
              <w:spacing w:line="240" w:lineRule="auto"/>
              <w:jc w:val="center"/>
              <w:rPr>
                <w:rFonts w:cstheme="minorHAnsi"/>
                <w:bCs/>
                <w:color w:val="538135" w:themeColor="accent6" w:themeShade="BF"/>
                <w:sz w:val="20"/>
                <w:szCs w:val="20"/>
              </w:rPr>
            </w:pPr>
            <w:r w:rsidRPr="0054423E">
              <w:rPr>
                <w:rFonts w:cstheme="minorHAnsi"/>
                <w:bCs/>
                <w:color w:val="538135" w:themeColor="accent6" w:themeShade="BF"/>
                <w:sz w:val="20"/>
                <w:szCs w:val="20"/>
              </w:rPr>
              <w:t>15 years</w:t>
            </w:r>
          </w:p>
        </w:tc>
      </w:tr>
      <w:tr w:rsidR="007A6E8E" w:rsidRPr="007A6E8E" w14:paraId="30F89AB9" w14:textId="58A1872D" w:rsidTr="0054423E">
        <w:trPr>
          <w:trHeight w:val="497"/>
        </w:trPr>
        <w:tc>
          <w:tcPr>
            <w:tcW w:w="208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6B66ED" w14:textId="77777777" w:rsidR="007942FF" w:rsidRPr="00841E52" w:rsidRDefault="007942FF" w:rsidP="00F20100">
            <w:pPr>
              <w:spacing w:line="240" w:lineRule="auto"/>
              <w:rPr>
                <w:rFonts w:cstheme="minorHAnsi"/>
                <w:color w:val="000000"/>
                <w:sz w:val="20"/>
                <w:szCs w:val="20"/>
              </w:rPr>
            </w:pPr>
            <w:r w:rsidRPr="00841E52">
              <w:rPr>
                <w:rFonts w:cstheme="minorHAnsi"/>
                <w:color w:val="000000"/>
                <w:sz w:val="20"/>
                <w:szCs w:val="20"/>
              </w:rPr>
              <w:t>Urban tree planting</w:t>
            </w:r>
          </w:p>
        </w:tc>
        <w:tc>
          <w:tcPr>
            <w:tcW w:w="10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584A13" w14:textId="46A4EE0B" w:rsidR="007942FF" w:rsidRPr="00841E52" w:rsidRDefault="007942FF" w:rsidP="00F20100">
            <w:pPr>
              <w:spacing w:line="240" w:lineRule="auto"/>
              <w:rPr>
                <w:rFonts w:cstheme="minorHAnsi"/>
                <w:bCs/>
                <w:sz w:val="20"/>
                <w:szCs w:val="20"/>
              </w:rPr>
            </w:pPr>
            <w:r w:rsidRPr="00841E52">
              <w:rPr>
                <w:rFonts w:cstheme="minorHAnsi"/>
                <w:bCs/>
                <w:sz w:val="20"/>
                <w:szCs w:val="20"/>
              </w:rPr>
              <w:t>40 years</w:t>
            </w:r>
            <w:r w:rsidR="0043575A" w:rsidRPr="00841E52">
              <w:rPr>
                <w:rFonts w:cstheme="minorHAnsi"/>
                <w:bCs/>
                <w:sz w:val="20"/>
                <w:szCs w:val="20"/>
                <w:vertAlign w:val="superscript"/>
              </w:rPr>
              <w:t>1</w:t>
            </w:r>
          </w:p>
        </w:tc>
        <w:tc>
          <w:tcPr>
            <w:tcW w:w="1080" w:type="dxa"/>
            <w:tcBorders>
              <w:top w:val="single" w:sz="4" w:space="0" w:color="auto"/>
              <w:left w:val="single" w:sz="4" w:space="0" w:color="auto"/>
              <w:bottom w:val="double" w:sz="4" w:space="0" w:color="auto"/>
              <w:right w:val="double" w:sz="4" w:space="0" w:color="auto"/>
            </w:tcBorders>
            <w:shd w:val="clear" w:color="auto" w:fill="FFF2CC" w:themeFill="accent4" w:themeFillTint="33"/>
          </w:tcPr>
          <w:p w14:paraId="6D1E6250" w14:textId="226FCE20" w:rsidR="007942FF" w:rsidRPr="00841E52" w:rsidRDefault="00E507F1" w:rsidP="00F20100">
            <w:pPr>
              <w:spacing w:line="240" w:lineRule="auto"/>
              <w:rPr>
                <w:rFonts w:cstheme="minorHAnsi"/>
                <w:bCs/>
                <w:i/>
                <w:iCs/>
                <w:sz w:val="20"/>
                <w:szCs w:val="20"/>
              </w:rPr>
            </w:pPr>
            <w:r w:rsidRPr="00841E52">
              <w:rPr>
                <w:rFonts w:cstheme="minorHAnsi"/>
                <w:bCs/>
                <w:i/>
                <w:iCs/>
                <w:sz w:val="20"/>
                <w:szCs w:val="20"/>
              </w:rPr>
              <w:t>No change</w:t>
            </w:r>
          </w:p>
        </w:tc>
        <w:tc>
          <w:tcPr>
            <w:tcW w:w="990" w:type="dxa"/>
            <w:tcBorders>
              <w:top w:val="single" w:sz="4" w:space="0" w:color="auto"/>
              <w:left w:val="double" w:sz="4" w:space="0" w:color="auto"/>
              <w:bottom w:val="double" w:sz="4" w:space="0" w:color="auto"/>
              <w:right w:val="single" w:sz="4" w:space="0" w:color="auto"/>
            </w:tcBorders>
            <w:shd w:val="clear" w:color="auto" w:fill="DEEAF6" w:themeFill="accent5" w:themeFillTint="33"/>
            <w:vAlign w:val="center"/>
          </w:tcPr>
          <w:p w14:paraId="41AE85BB" w14:textId="0A7E7B7D" w:rsidR="007942FF" w:rsidRPr="00841E52" w:rsidRDefault="0043575A" w:rsidP="0043575A">
            <w:pPr>
              <w:spacing w:line="240" w:lineRule="auto"/>
              <w:rPr>
                <w:rFonts w:cstheme="minorHAnsi"/>
                <w:bCs/>
                <w:sz w:val="20"/>
                <w:szCs w:val="20"/>
              </w:rPr>
            </w:pPr>
            <w:r w:rsidRPr="00841E52">
              <w:rPr>
                <w:rFonts w:cstheme="minorHAnsi"/>
                <w:bCs/>
                <w:sz w:val="20"/>
                <w:szCs w:val="20"/>
              </w:rPr>
              <w:t>1</w:t>
            </w:r>
            <w:r w:rsidR="009136CB" w:rsidRPr="00841E52">
              <w:rPr>
                <w:rFonts w:cstheme="minorHAnsi"/>
                <w:bCs/>
                <w:sz w:val="20"/>
                <w:szCs w:val="20"/>
              </w:rPr>
              <w:t>0</w:t>
            </w:r>
            <w:r w:rsidRPr="00841E52">
              <w:rPr>
                <w:rFonts w:cstheme="minorHAnsi"/>
                <w:bCs/>
                <w:sz w:val="20"/>
                <w:szCs w:val="20"/>
              </w:rPr>
              <w:t xml:space="preserve"> years </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4D3BB6" w14:textId="0FE7895A" w:rsidR="007942FF" w:rsidRPr="00841E52" w:rsidRDefault="0054423E" w:rsidP="00F20100">
            <w:pPr>
              <w:spacing w:line="240" w:lineRule="auto"/>
              <w:rPr>
                <w:rFonts w:cstheme="minorHAnsi"/>
                <w:bCs/>
                <w:sz w:val="20"/>
                <w:szCs w:val="20"/>
              </w:rPr>
            </w:pPr>
            <w:r w:rsidRPr="00841E52">
              <w:rPr>
                <w:rFonts w:cstheme="minorHAnsi"/>
                <w:bCs/>
                <w:sz w:val="20"/>
                <w:szCs w:val="20"/>
              </w:rPr>
              <w:t>15 years</w:t>
            </w:r>
            <w:r>
              <w:rPr>
                <w:rFonts w:cstheme="minorHAnsi"/>
                <w:bCs/>
                <w:sz w:val="20"/>
                <w:szCs w:val="20"/>
              </w:rPr>
              <w:t>,</w:t>
            </w:r>
            <w:r>
              <w:rPr>
                <w:rFonts w:cstheme="minorHAnsi"/>
                <w:bCs/>
                <w:sz w:val="20"/>
                <w:szCs w:val="20"/>
              </w:rPr>
              <w:t xml:space="preserve"> </w:t>
            </w:r>
            <w:r w:rsidRPr="00841E52">
              <w:rPr>
                <w:rFonts w:cstheme="minorHAnsi"/>
                <w:bCs/>
                <w:sz w:val="20"/>
                <w:szCs w:val="20"/>
              </w:rPr>
              <w:t>then modeled as Land Use</w:t>
            </w:r>
          </w:p>
        </w:tc>
        <w:tc>
          <w:tcPr>
            <w:tcW w:w="23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CB9F97" w14:textId="0DE0E827" w:rsidR="007942FF" w:rsidRPr="0054423E" w:rsidRDefault="00E507F1" w:rsidP="007942FF">
            <w:pPr>
              <w:spacing w:line="240" w:lineRule="auto"/>
              <w:jc w:val="center"/>
              <w:rPr>
                <w:rFonts w:cstheme="minorHAnsi"/>
                <w:bCs/>
                <w:color w:val="538135" w:themeColor="accent6" w:themeShade="BF"/>
                <w:sz w:val="20"/>
                <w:szCs w:val="20"/>
              </w:rPr>
            </w:pPr>
            <w:r w:rsidRPr="0054423E">
              <w:rPr>
                <w:rFonts w:cstheme="minorHAnsi"/>
                <w:bCs/>
                <w:color w:val="538135" w:themeColor="accent6" w:themeShade="BF"/>
                <w:sz w:val="20"/>
                <w:szCs w:val="20"/>
              </w:rPr>
              <w:t>15 years</w:t>
            </w:r>
          </w:p>
        </w:tc>
      </w:tr>
      <w:tr w:rsidR="007A6E8E" w:rsidRPr="007A6E8E" w14:paraId="5C9890CA" w14:textId="77777777" w:rsidTr="0054423E">
        <w:trPr>
          <w:trHeight w:val="497"/>
        </w:trPr>
        <w:tc>
          <w:tcPr>
            <w:tcW w:w="2088" w:type="dxa"/>
            <w:tcBorders>
              <w:top w:val="single" w:sz="4" w:space="0" w:color="auto"/>
              <w:left w:val="single" w:sz="4" w:space="0" w:color="auto"/>
              <w:bottom w:val="double" w:sz="4" w:space="0" w:color="auto"/>
              <w:right w:val="single" w:sz="4" w:space="0" w:color="auto"/>
            </w:tcBorders>
            <w:shd w:val="clear" w:color="auto" w:fill="FFF2CC" w:themeFill="accent4" w:themeFillTint="33"/>
          </w:tcPr>
          <w:p w14:paraId="719A8816" w14:textId="51B2E482" w:rsidR="0043575A" w:rsidRPr="00841E52" w:rsidRDefault="0043575A" w:rsidP="0043575A">
            <w:pPr>
              <w:spacing w:line="240" w:lineRule="auto"/>
              <w:rPr>
                <w:rFonts w:cstheme="minorHAnsi"/>
                <w:color w:val="000000"/>
                <w:sz w:val="20"/>
                <w:szCs w:val="20"/>
              </w:rPr>
            </w:pPr>
            <w:r w:rsidRPr="00841E52">
              <w:rPr>
                <w:rFonts w:cstheme="minorHAnsi"/>
                <w:color w:val="000000"/>
                <w:sz w:val="20"/>
                <w:szCs w:val="20"/>
              </w:rPr>
              <w:t>(Urban) Forest Planting</w:t>
            </w:r>
          </w:p>
        </w:tc>
        <w:tc>
          <w:tcPr>
            <w:tcW w:w="1057" w:type="dxa"/>
            <w:tcBorders>
              <w:top w:val="single" w:sz="4" w:space="0" w:color="auto"/>
              <w:left w:val="single" w:sz="4" w:space="0" w:color="auto"/>
              <w:bottom w:val="double" w:sz="4" w:space="0" w:color="auto"/>
              <w:right w:val="single" w:sz="4" w:space="0" w:color="auto"/>
            </w:tcBorders>
            <w:shd w:val="clear" w:color="auto" w:fill="FFF2CC" w:themeFill="accent4" w:themeFillTint="33"/>
          </w:tcPr>
          <w:p w14:paraId="5063B5B1" w14:textId="56F52FCF" w:rsidR="0043575A" w:rsidRPr="00841E52" w:rsidRDefault="0043575A" w:rsidP="0043575A">
            <w:pPr>
              <w:spacing w:line="240" w:lineRule="auto"/>
              <w:rPr>
                <w:rFonts w:cstheme="minorHAnsi"/>
                <w:bCs/>
                <w:sz w:val="20"/>
                <w:szCs w:val="20"/>
              </w:rPr>
            </w:pPr>
            <w:r w:rsidRPr="00841E52">
              <w:rPr>
                <w:rFonts w:cstheme="minorHAnsi"/>
                <w:bCs/>
                <w:sz w:val="20"/>
                <w:szCs w:val="20"/>
              </w:rPr>
              <w:t>28 years</w:t>
            </w:r>
            <w:r w:rsidRPr="00841E52">
              <w:rPr>
                <w:rFonts w:cstheme="minorHAnsi"/>
                <w:bCs/>
                <w:sz w:val="20"/>
                <w:szCs w:val="20"/>
                <w:vertAlign w:val="superscript"/>
              </w:rPr>
              <w:t>1</w:t>
            </w:r>
          </w:p>
        </w:tc>
        <w:tc>
          <w:tcPr>
            <w:tcW w:w="1080" w:type="dxa"/>
            <w:tcBorders>
              <w:top w:val="single" w:sz="4" w:space="0" w:color="auto"/>
              <w:left w:val="single" w:sz="4" w:space="0" w:color="auto"/>
              <w:bottom w:val="double" w:sz="4" w:space="0" w:color="auto"/>
              <w:right w:val="double" w:sz="4" w:space="0" w:color="auto"/>
            </w:tcBorders>
            <w:shd w:val="clear" w:color="auto" w:fill="FFF2CC" w:themeFill="accent4" w:themeFillTint="33"/>
          </w:tcPr>
          <w:p w14:paraId="1C3E3154" w14:textId="1737F736" w:rsidR="0043575A" w:rsidRPr="00841E52" w:rsidRDefault="0043575A" w:rsidP="0043575A">
            <w:pPr>
              <w:spacing w:line="240" w:lineRule="auto"/>
              <w:rPr>
                <w:rFonts w:cstheme="minorHAnsi"/>
                <w:bCs/>
                <w:sz w:val="20"/>
                <w:szCs w:val="20"/>
              </w:rPr>
            </w:pPr>
            <w:r w:rsidRPr="00841E52">
              <w:rPr>
                <w:rFonts w:cstheme="minorHAnsi"/>
                <w:bCs/>
                <w:sz w:val="20"/>
                <w:szCs w:val="20"/>
              </w:rPr>
              <w:t>40 years</w:t>
            </w:r>
          </w:p>
        </w:tc>
        <w:tc>
          <w:tcPr>
            <w:tcW w:w="990" w:type="dxa"/>
            <w:tcBorders>
              <w:top w:val="single" w:sz="4" w:space="0" w:color="auto"/>
              <w:left w:val="double" w:sz="4" w:space="0" w:color="auto"/>
              <w:bottom w:val="double" w:sz="4" w:space="0" w:color="auto"/>
              <w:right w:val="single" w:sz="4" w:space="0" w:color="auto"/>
            </w:tcBorders>
            <w:shd w:val="clear" w:color="auto" w:fill="DEEAF6" w:themeFill="accent5" w:themeFillTint="33"/>
          </w:tcPr>
          <w:p w14:paraId="18F717D1" w14:textId="00D7F87D" w:rsidR="0043575A" w:rsidRPr="00841E52" w:rsidRDefault="0043575A" w:rsidP="0043575A">
            <w:pPr>
              <w:spacing w:line="240" w:lineRule="auto"/>
              <w:rPr>
                <w:rFonts w:cstheme="minorHAnsi"/>
                <w:bCs/>
                <w:sz w:val="20"/>
                <w:szCs w:val="20"/>
              </w:rPr>
            </w:pPr>
            <w:r w:rsidRPr="00841E52">
              <w:rPr>
                <w:rFonts w:cstheme="minorHAnsi"/>
                <w:bCs/>
                <w:sz w:val="20"/>
                <w:szCs w:val="20"/>
              </w:rPr>
              <w:t xml:space="preserve">15 years </w:t>
            </w:r>
          </w:p>
        </w:tc>
        <w:tc>
          <w:tcPr>
            <w:tcW w:w="1980" w:type="dxa"/>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5A597E85" w14:textId="3BDAC1AC" w:rsidR="0043575A" w:rsidRPr="00841E52" w:rsidRDefault="00F26EA1" w:rsidP="0043575A">
            <w:pPr>
              <w:spacing w:line="240" w:lineRule="auto"/>
              <w:rPr>
                <w:rFonts w:cstheme="minorHAnsi"/>
                <w:bCs/>
                <w:i/>
                <w:iCs/>
                <w:sz w:val="20"/>
                <w:szCs w:val="20"/>
              </w:rPr>
            </w:pPr>
            <w:r w:rsidRPr="00841E52">
              <w:rPr>
                <w:rFonts w:cstheme="minorHAnsi"/>
                <w:bCs/>
                <w:i/>
                <w:iCs/>
                <w:sz w:val="20"/>
                <w:szCs w:val="20"/>
              </w:rPr>
              <w:t>No change</w:t>
            </w:r>
            <w:r w:rsidR="0043575A" w:rsidRPr="00841E52">
              <w:rPr>
                <w:rFonts w:cstheme="minorHAnsi"/>
                <w:bCs/>
                <w:i/>
                <w:iCs/>
                <w:sz w:val="20"/>
                <w:szCs w:val="20"/>
              </w:rPr>
              <w:t xml:space="preserve"> </w:t>
            </w:r>
          </w:p>
        </w:tc>
        <w:tc>
          <w:tcPr>
            <w:tcW w:w="2340" w:type="dxa"/>
            <w:tcBorders>
              <w:top w:val="single" w:sz="4" w:space="0" w:color="auto"/>
              <w:left w:val="single" w:sz="4" w:space="0" w:color="auto"/>
              <w:bottom w:val="double" w:sz="4" w:space="0" w:color="auto"/>
              <w:right w:val="single" w:sz="4" w:space="0" w:color="auto"/>
            </w:tcBorders>
            <w:shd w:val="clear" w:color="auto" w:fill="DEEAF6" w:themeFill="accent5" w:themeFillTint="33"/>
          </w:tcPr>
          <w:p w14:paraId="3657AD1A" w14:textId="5244BA1A" w:rsidR="0043575A" w:rsidRPr="0054423E" w:rsidRDefault="00E507F1" w:rsidP="0043575A">
            <w:pPr>
              <w:spacing w:line="240" w:lineRule="auto"/>
              <w:jc w:val="center"/>
              <w:rPr>
                <w:rFonts w:cstheme="minorHAnsi"/>
                <w:bCs/>
                <w:color w:val="538135" w:themeColor="accent6" w:themeShade="BF"/>
                <w:sz w:val="20"/>
                <w:szCs w:val="20"/>
              </w:rPr>
            </w:pPr>
            <w:r w:rsidRPr="0054423E">
              <w:rPr>
                <w:rFonts w:cstheme="minorHAnsi"/>
                <w:bCs/>
                <w:color w:val="538135" w:themeColor="accent6" w:themeShade="BF"/>
                <w:sz w:val="20"/>
                <w:szCs w:val="20"/>
              </w:rPr>
              <w:t>15 years</w:t>
            </w:r>
          </w:p>
        </w:tc>
      </w:tr>
      <w:tr w:rsidR="007A6E8E" w:rsidRPr="007A6E8E" w14:paraId="19722394" w14:textId="69B64051" w:rsidTr="0054423E">
        <w:trPr>
          <w:trHeight w:val="497"/>
        </w:trPr>
        <w:tc>
          <w:tcPr>
            <w:tcW w:w="2088" w:type="dxa"/>
            <w:tcBorders>
              <w:top w:val="double" w:sz="4" w:space="0" w:color="auto"/>
              <w:left w:val="single" w:sz="4" w:space="0" w:color="auto"/>
              <w:bottom w:val="single" w:sz="4" w:space="0" w:color="auto"/>
              <w:right w:val="single" w:sz="4" w:space="0" w:color="auto"/>
            </w:tcBorders>
            <w:shd w:val="clear" w:color="auto" w:fill="auto"/>
          </w:tcPr>
          <w:p w14:paraId="52916F4E" w14:textId="4AC149D5" w:rsidR="007942FF" w:rsidRPr="00841E52" w:rsidRDefault="007942FF" w:rsidP="00F20100">
            <w:pPr>
              <w:spacing w:line="240" w:lineRule="auto"/>
              <w:rPr>
                <w:rFonts w:cstheme="minorHAnsi"/>
                <w:color w:val="000000"/>
                <w:sz w:val="20"/>
                <w:szCs w:val="20"/>
              </w:rPr>
            </w:pPr>
            <w:r w:rsidRPr="00841E52">
              <w:rPr>
                <w:rFonts w:cstheme="minorHAnsi"/>
                <w:color w:val="000000"/>
                <w:sz w:val="20"/>
                <w:szCs w:val="20"/>
              </w:rPr>
              <w:t>Forest Harvesting BMPs</w:t>
            </w:r>
          </w:p>
        </w:tc>
        <w:tc>
          <w:tcPr>
            <w:tcW w:w="1057" w:type="dxa"/>
            <w:tcBorders>
              <w:top w:val="double" w:sz="4" w:space="0" w:color="auto"/>
              <w:left w:val="single" w:sz="4" w:space="0" w:color="auto"/>
              <w:bottom w:val="single" w:sz="4" w:space="0" w:color="auto"/>
              <w:right w:val="single" w:sz="4" w:space="0" w:color="auto"/>
            </w:tcBorders>
            <w:shd w:val="clear" w:color="auto" w:fill="auto"/>
          </w:tcPr>
          <w:p w14:paraId="3067D3A9" w14:textId="15A3337F" w:rsidR="007942FF" w:rsidRPr="00841E52" w:rsidRDefault="007942FF" w:rsidP="00F20100">
            <w:pPr>
              <w:spacing w:line="240" w:lineRule="auto"/>
              <w:rPr>
                <w:rFonts w:cstheme="minorHAnsi"/>
                <w:bCs/>
                <w:sz w:val="20"/>
                <w:szCs w:val="20"/>
              </w:rPr>
            </w:pPr>
            <w:r w:rsidRPr="00841E52">
              <w:rPr>
                <w:rFonts w:cstheme="minorHAnsi"/>
                <w:bCs/>
                <w:sz w:val="20"/>
                <w:szCs w:val="20"/>
              </w:rPr>
              <w:t>1 year</w:t>
            </w:r>
          </w:p>
        </w:tc>
        <w:tc>
          <w:tcPr>
            <w:tcW w:w="1080" w:type="dxa"/>
            <w:tcBorders>
              <w:top w:val="double" w:sz="4" w:space="0" w:color="auto"/>
              <w:left w:val="single" w:sz="4" w:space="0" w:color="auto"/>
              <w:bottom w:val="single" w:sz="4" w:space="0" w:color="auto"/>
              <w:right w:val="single" w:sz="4" w:space="0" w:color="auto"/>
            </w:tcBorders>
            <w:shd w:val="clear" w:color="auto" w:fill="auto"/>
          </w:tcPr>
          <w:p w14:paraId="1A2FC972" w14:textId="50812135" w:rsidR="007942FF" w:rsidRPr="00841E52" w:rsidRDefault="007942FF" w:rsidP="00F20100">
            <w:pPr>
              <w:spacing w:line="240" w:lineRule="auto"/>
              <w:rPr>
                <w:rFonts w:cstheme="minorHAnsi"/>
                <w:bCs/>
                <w:i/>
                <w:iCs/>
                <w:sz w:val="20"/>
                <w:szCs w:val="20"/>
                <w:highlight w:val="lightGray"/>
              </w:rPr>
            </w:pPr>
            <w:r w:rsidRPr="00841E52">
              <w:rPr>
                <w:rFonts w:cstheme="minorHAnsi"/>
                <w:bCs/>
                <w:sz w:val="20"/>
                <w:szCs w:val="20"/>
              </w:rPr>
              <w:t>3 years</w:t>
            </w:r>
          </w:p>
        </w:tc>
        <w:tc>
          <w:tcPr>
            <w:tcW w:w="990" w:type="dxa"/>
            <w:tcBorders>
              <w:top w:val="double" w:sz="4" w:space="0" w:color="auto"/>
              <w:left w:val="single" w:sz="4" w:space="0" w:color="auto"/>
              <w:bottom w:val="single" w:sz="4" w:space="0" w:color="auto"/>
              <w:right w:val="single" w:sz="4" w:space="0" w:color="auto"/>
            </w:tcBorders>
            <w:shd w:val="clear" w:color="auto" w:fill="auto"/>
          </w:tcPr>
          <w:p w14:paraId="364FE618" w14:textId="77777777" w:rsidR="007942FF" w:rsidRPr="00841E52" w:rsidRDefault="007942FF" w:rsidP="00F20100">
            <w:pPr>
              <w:spacing w:line="240" w:lineRule="auto"/>
              <w:rPr>
                <w:rFonts w:cstheme="minorHAnsi"/>
                <w:bCs/>
                <w:sz w:val="20"/>
                <w:szCs w:val="20"/>
              </w:rPr>
            </w:pPr>
            <w:r w:rsidRPr="00841E52">
              <w:rPr>
                <w:rFonts w:cstheme="minorHAnsi"/>
                <w:bCs/>
                <w:sz w:val="20"/>
                <w:szCs w:val="20"/>
              </w:rPr>
              <w:t>3 years then reverts to Forest Land Use</w:t>
            </w:r>
          </w:p>
        </w:tc>
        <w:tc>
          <w:tcPr>
            <w:tcW w:w="1980" w:type="dxa"/>
            <w:tcBorders>
              <w:top w:val="double" w:sz="4" w:space="0" w:color="auto"/>
              <w:left w:val="single" w:sz="4" w:space="0" w:color="auto"/>
              <w:bottom w:val="single" w:sz="4" w:space="0" w:color="auto"/>
              <w:right w:val="single" w:sz="4" w:space="0" w:color="auto"/>
            </w:tcBorders>
            <w:shd w:val="clear" w:color="auto" w:fill="auto"/>
          </w:tcPr>
          <w:p w14:paraId="323AEBBB" w14:textId="77777777" w:rsidR="007942FF" w:rsidRPr="00841E52" w:rsidRDefault="007942FF" w:rsidP="00F20100">
            <w:pPr>
              <w:spacing w:line="240" w:lineRule="auto"/>
              <w:rPr>
                <w:rFonts w:cstheme="minorHAnsi"/>
                <w:bCs/>
                <w:i/>
                <w:iCs/>
                <w:sz w:val="20"/>
                <w:szCs w:val="20"/>
                <w:highlight w:val="lightGray"/>
              </w:rPr>
            </w:pPr>
            <w:r w:rsidRPr="00841E52">
              <w:rPr>
                <w:rFonts w:cstheme="minorHAnsi"/>
                <w:bCs/>
                <w:i/>
                <w:iCs/>
                <w:sz w:val="20"/>
                <w:szCs w:val="20"/>
              </w:rPr>
              <w:t>No change</w:t>
            </w:r>
          </w:p>
        </w:tc>
        <w:tc>
          <w:tcPr>
            <w:tcW w:w="2340" w:type="dxa"/>
            <w:tcBorders>
              <w:top w:val="double" w:sz="4" w:space="0" w:color="auto"/>
              <w:left w:val="single" w:sz="4" w:space="0" w:color="auto"/>
              <w:bottom w:val="single" w:sz="4" w:space="0" w:color="auto"/>
              <w:right w:val="single" w:sz="4" w:space="0" w:color="auto"/>
            </w:tcBorders>
            <w:shd w:val="clear" w:color="auto" w:fill="auto"/>
          </w:tcPr>
          <w:p w14:paraId="0FCE42D0" w14:textId="19CE75D1" w:rsidR="007942FF" w:rsidRPr="0054423E" w:rsidRDefault="007942FF" w:rsidP="007942FF">
            <w:pPr>
              <w:spacing w:line="240" w:lineRule="auto"/>
              <w:jc w:val="center"/>
              <w:rPr>
                <w:rFonts w:cstheme="minorHAnsi"/>
                <w:bCs/>
                <w:color w:val="538135" w:themeColor="accent6" w:themeShade="BF"/>
                <w:sz w:val="20"/>
                <w:szCs w:val="20"/>
              </w:rPr>
            </w:pPr>
            <w:r w:rsidRPr="0054423E">
              <w:rPr>
                <w:rFonts w:cstheme="minorHAnsi"/>
                <w:bCs/>
                <w:color w:val="538135" w:themeColor="accent6" w:themeShade="BF"/>
                <w:sz w:val="20"/>
                <w:szCs w:val="20"/>
              </w:rPr>
              <w:t>n/a</w:t>
            </w:r>
          </w:p>
        </w:tc>
      </w:tr>
    </w:tbl>
    <w:p w14:paraId="3DC617A5" w14:textId="1FC1552F" w:rsidR="00F20100" w:rsidRPr="00841E52" w:rsidRDefault="00D44219" w:rsidP="00841E52">
      <w:pPr>
        <w:spacing w:after="0"/>
        <w:rPr>
          <w:rFonts w:cstheme="minorHAnsi"/>
          <w:i/>
          <w:iCs/>
          <w:color w:val="000000"/>
          <w:sz w:val="20"/>
          <w:szCs w:val="20"/>
        </w:rPr>
      </w:pPr>
      <w:r w:rsidRPr="00841E52">
        <w:rPr>
          <w:rFonts w:cstheme="minorHAnsi"/>
          <w:bCs/>
          <w:i/>
          <w:iCs/>
          <w:sz w:val="20"/>
          <w:szCs w:val="20"/>
          <w:vertAlign w:val="superscript"/>
        </w:rPr>
        <w:t>1</w:t>
      </w:r>
      <w:r w:rsidR="00615F93" w:rsidRPr="00841E52">
        <w:rPr>
          <w:rFonts w:cstheme="minorHAnsi"/>
          <w:i/>
          <w:iCs/>
          <w:color w:val="000000"/>
          <w:sz w:val="20"/>
          <w:szCs w:val="20"/>
        </w:rPr>
        <w:t>D</w:t>
      </w:r>
      <w:r w:rsidR="00F20100" w:rsidRPr="00841E52">
        <w:rPr>
          <w:rFonts w:cstheme="minorHAnsi"/>
          <w:i/>
          <w:iCs/>
          <w:color w:val="000000"/>
          <w:sz w:val="20"/>
          <w:szCs w:val="20"/>
        </w:rPr>
        <w:t>etermined without consultation with the Forestry Workgroup.</w:t>
      </w:r>
    </w:p>
    <w:p w14:paraId="74E2E20C" w14:textId="4FC132DB" w:rsidR="0043575A" w:rsidRPr="00841E52" w:rsidRDefault="00D44219" w:rsidP="00F20100">
      <w:pPr>
        <w:rPr>
          <w:rFonts w:cstheme="minorHAnsi"/>
          <w:i/>
          <w:iCs/>
          <w:color w:val="000000"/>
          <w:sz w:val="20"/>
          <w:szCs w:val="20"/>
        </w:rPr>
      </w:pPr>
      <w:r w:rsidRPr="00841E52">
        <w:rPr>
          <w:rFonts w:cstheme="minorHAnsi"/>
          <w:i/>
          <w:iCs/>
          <w:color w:val="000000"/>
          <w:sz w:val="20"/>
          <w:szCs w:val="20"/>
          <w:vertAlign w:val="superscript"/>
        </w:rPr>
        <w:t>2</w:t>
      </w:r>
      <w:r w:rsidR="0043575A" w:rsidRPr="00841E52">
        <w:rPr>
          <w:rFonts w:cstheme="minorHAnsi"/>
          <w:i/>
          <w:iCs/>
          <w:color w:val="000000"/>
          <w:sz w:val="20"/>
          <w:szCs w:val="20"/>
        </w:rPr>
        <w:t>Back Out for Buffer Practices is only for the land use conversion portion of the credit.</w:t>
      </w:r>
      <w:r w:rsidR="00E507F1" w:rsidRPr="00841E52">
        <w:rPr>
          <w:rFonts w:cstheme="minorHAnsi"/>
          <w:i/>
          <w:iCs/>
          <w:color w:val="000000"/>
          <w:sz w:val="20"/>
          <w:szCs w:val="20"/>
        </w:rPr>
        <w:t xml:space="preserve"> If verified, buffers can continue to receive the upslope efficiency portion of the credit. </w:t>
      </w:r>
    </w:p>
    <w:p w14:paraId="4B32F831" w14:textId="77777777" w:rsidR="007801F7" w:rsidRDefault="007801F7" w:rsidP="00D62BC6">
      <w:pPr>
        <w:spacing w:after="0" w:line="240" w:lineRule="auto"/>
        <w:rPr>
          <w:rFonts w:cstheme="minorHAnsi"/>
          <w:color w:val="000000"/>
          <w:sz w:val="24"/>
          <w:szCs w:val="24"/>
          <w:u w:val="single"/>
        </w:rPr>
      </w:pPr>
    </w:p>
    <w:p w14:paraId="25A20833" w14:textId="49A946A6" w:rsidR="00932DA7" w:rsidRPr="004D7EF8" w:rsidRDefault="00F26EA1" w:rsidP="00D62BC6">
      <w:pPr>
        <w:spacing w:after="0" w:line="240" w:lineRule="auto"/>
        <w:rPr>
          <w:rFonts w:cstheme="minorHAnsi"/>
          <w:color w:val="000000"/>
          <w:sz w:val="24"/>
          <w:szCs w:val="24"/>
          <w:u w:val="single"/>
        </w:rPr>
      </w:pPr>
      <w:r>
        <w:rPr>
          <w:rFonts w:cstheme="minorHAnsi"/>
          <w:color w:val="000000"/>
          <w:sz w:val="24"/>
          <w:szCs w:val="24"/>
          <w:u w:val="single"/>
        </w:rPr>
        <w:t xml:space="preserve">Basis for </w:t>
      </w:r>
      <w:r w:rsidR="00932DA7" w:rsidRPr="004D7EF8">
        <w:rPr>
          <w:rFonts w:cstheme="minorHAnsi"/>
          <w:color w:val="000000"/>
          <w:sz w:val="24"/>
          <w:szCs w:val="24"/>
          <w:u w:val="single"/>
        </w:rPr>
        <w:t>Credit Duration</w:t>
      </w:r>
      <w:r>
        <w:rPr>
          <w:rFonts w:cstheme="minorHAnsi"/>
          <w:color w:val="000000"/>
          <w:sz w:val="24"/>
          <w:szCs w:val="24"/>
          <w:u w:val="single"/>
        </w:rPr>
        <w:t>s</w:t>
      </w:r>
    </w:p>
    <w:p w14:paraId="3ABD9881" w14:textId="77777777" w:rsidR="00F528EF" w:rsidRPr="004D7EF8" w:rsidRDefault="00F528EF" w:rsidP="00D62BC6">
      <w:pPr>
        <w:spacing w:after="0" w:line="240" w:lineRule="auto"/>
        <w:rPr>
          <w:rFonts w:cstheme="minorHAnsi"/>
          <w:color w:val="000000"/>
          <w:u w:val="single"/>
        </w:rPr>
      </w:pPr>
    </w:p>
    <w:p w14:paraId="71236C9E" w14:textId="46CF5CCB" w:rsidR="00F26EA1" w:rsidRDefault="00F26EA1" w:rsidP="00841E52">
      <w:pPr>
        <w:spacing w:line="240" w:lineRule="auto"/>
        <w:rPr>
          <w:rFonts w:cstheme="minorHAnsi"/>
          <w:color w:val="000000"/>
        </w:rPr>
      </w:pPr>
      <w:r>
        <w:rPr>
          <w:rFonts w:cstheme="minorHAnsi"/>
          <w:color w:val="000000"/>
        </w:rPr>
        <w:t xml:space="preserve">MD DNR and the FWG have been comparing shapefiles of trees planted 5-15 years ago to the Bay high-resolution imagery to determine the average number of years when the imagery reliably captures these plantings.  </w:t>
      </w:r>
      <w:r w:rsidRPr="006F2D26">
        <w:rPr>
          <w:rFonts w:cstheme="minorHAnsi"/>
          <w:b/>
          <w:bCs/>
          <w:color w:val="000000"/>
        </w:rPr>
        <w:t xml:space="preserve">We have learned that it is much more likely that the imagery will capture a </w:t>
      </w:r>
      <w:proofErr w:type="gramStart"/>
      <w:r w:rsidRPr="006F2D26">
        <w:rPr>
          <w:rFonts w:cstheme="minorHAnsi"/>
          <w:b/>
          <w:bCs/>
          <w:color w:val="000000"/>
        </w:rPr>
        <w:t>15 year-old</w:t>
      </w:r>
      <w:proofErr w:type="gramEnd"/>
      <w:r w:rsidRPr="006F2D26">
        <w:rPr>
          <w:rFonts w:cstheme="minorHAnsi"/>
          <w:b/>
          <w:bCs/>
          <w:color w:val="000000"/>
        </w:rPr>
        <w:t xml:space="preserve"> planting as forest then a 10 year-old planting as demonstrated in the image below</w:t>
      </w:r>
      <w:r>
        <w:rPr>
          <w:rFonts w:cstheme="minorHAnsi"/>
          <w:color w:val="000000"/>
        </w:rPr>
        <w:t xml:space="preserve">.  The Expert Panel report was a placeholder, but the new analysis using actual CBP data is more reliable. We are therefore proposing that the credit life and backout period for all forestry BMPs is extended from 10 to 15 years. </w:t>
      </w:r>
    </w:p>
    <w:p w14:paraId="0AB7B1A2" w14:textId="7E0818B4" w:rsidR="007A6E8E" w:rsidRDefault="00F26EA1" w:rsidP="00841E52">
      <w:pPr>
        <w:spacing w:after="0" w:line="240" w:lineRule="auto"/>
        <w:jc w:val="center"/>
        <w:rPr>
          <w:rFonts w:cstheme="minorHAnsi"/>
          <w:color w:val="000000"/>
        </w:rPr>
      </w:pPr>
      <w:r w:rsidRPr="006A3CD3">
        <w:rPr>
          <w:rFonts w:cstheme="minorHAnsi"/>
          <w:noProof/>
          <w:color w:val="000000"/>
        </w:rPr>
        <w:lastRenderedPageBreak/>
        <w:drawing>
          <wp:inline distT="0" distB="0" distL="0" distR="0" wp14:anchorId="7993A08C" wp14:editId="7C488CD2">
            <wp:extent cx="5953125" cy="38299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113" r="18140" b="11079"/>
                    <a:stretch/>
                  </pic:blipFill>
                  <pic:spPr bwMode="auto">
                    <a:xfrm>
                      <a:off x="0" y="0"/>
                      <a:ext cx="6022299" cy="3874414"/>
                    </a:xfrm>
                    <a:prstGeom prst="rect">
                      <a:avLst/>
                    </a:prstGeom>
                    <a:ln>
                      <a:noFill/>
                    </a:ln>
                    <a:extLst>
                      <a:ext uri="{53640926-AAD7-44D8-BBD7-CCE9431645EC}">
                        <a14:shadowObscured xmlns:a14="http://schemas.microsoft.com/office/drawing/2010/main"/>
                      </a:ext>
                    </a:extLst>
                  </pic:spPr>
                </pic:pic>
              </a:graphicData>
            </a:graphic>
          </wp:inline>
        </w:drawing>
      </w:r>
    </w:p>
    <w:p w14:paraId="3BFEFC26" w14:textId="77777777" w:rsidR="00841E52" w:rsidRDefault="00841E52" w:rsidP="00841E52">
      <w:pPr>
        <w:spacing w:line="240" w:lineRule="auto"/>
        <w:rPr>
          <w:rFonts w:cstheme="minorHAnsi"/>
          <w:b/>
          <w:bCs/>
          <w:color w:val="000000"/>
        </w:rPr>
      </w:pPr>
      <w:r w:rsidRPr="00841E52">
        <w:rPr>
          <w:rFonts w:cstheme="minorHAnsi"/>
          <w:b/>
          <w:bCs/>
          <w:color w:val="000000"/>
        </w:rPr>
        <w:drawing>
          <wp:inline distT="0" distB="0" distL="0" distR="0" wp14:anchorId="01845A9A" wp14:editId="3E861FA3">
            <wp:extent cx="3762375" cy="3386139"/>
            <wp:effectExtent l="0" t="0" r="0" b="5080"/>
            <wp:docPr id="6" name="Content Placeholder 5" descr="Chart, scatter chart&#10;&#10;Description automatically generated">
              <a:extLst xmlns:a="http://schemas.openxmlformats.org/drawingml/2006/main">
                <a:ext uri="{FF2B5EF4-FFF2-40B4-BE49-F238E27FC236}">
                  <a16:creationId xmlns:a16="http://schemas.microsoft.com/office/drawing/2014/main" id="{8ACC05E3-6527-4C96-9933-E4C6204EF52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Chart, scatter chart&#10;&#10;Description automatically generated">
                      <a:extLst>
                        <a:ext uri="{FF2B5EF4-FFF2-40B4-BE49-F238E27FC236}">
                          <a16:creationId xmlns:a16="http://schemas.microsoft.com/office/drawing/2014/main" id="{8ACC05E3-6527-4C96-9933-E4C6204EF528}"/>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6230" cy="3398608"/>
                    </a:xfrm>
                    <a:prstGeom prst="rect">
                      <a:avLst/>
                    </a:prstGeom>
                  </pic:spPr>
                </pic:pic>
              </a:graphicData>
            </a:graphic>
          </wp:inline>
        </w:drawing>
      </w:r>
    </w:p>
    <w:p w14:paraId="326DB497" w14:textId="3A788123" w:rsidR="00F26EA1" w:rsidRPr="00841E52" w:rsidRDefault="00F26EA1" w:rsidP="00841E52">
      <w:pPr>
        <w:spacing w:line="240" w:lineRule="auto"/>
        <w:rPr>
          <w:rFonts w:cstheme="minorHAnsi"/>
          <w:b/>
          <w:bCs/>
          <w:color w:val="000000"/>
        </w:rPr>
      </w:pPr>
      <w:r>
        <w:rPr>
          <w:rFonts w:cstheme="minorHAnsi"/>
          <w:b/>
          <w:bCs/>
          <w:color w:val="000000"/>
        </w:rPr>
        <w:t>Forest Buffer Practices</w:t>
      </w:r>
    </w:p>
    <w:p w14:paraId="3AAFCC38" w14:textId="078844B6" w:rsidR="007A6E8E" w:rsidRPr="004D7EF8" w:rsidRDefault="007A6E8E" w:rsidP="007A6E8E">
      <w:pPr>
        <w:spacing w:after="0" w:line="240" w:lineRule="auto"/>
        <w:rPr>
          <w:rFonts w:cstheme="minorHAnsi"/>
          <w:color w:val="000000"/>
        </w:rPr>
      </w:pPr>
      <w:r>
        <w:rPr>
          <w:rFonts w:cstheme="minorHAnsi"/>
          <w:color w:val="000000"/>
        </w:rPr>
        <w:t xml:space="preserve">For buffers, the </w:t>
      </w:r>
      <w:r w:rsidR="00163282">
        <w:rPr>
          <w:rFonts w:cstheme="minorHAnsi"/>
          <w:color w:val="000000"/>
        </w:rPr>
        <w:t>15-year</w:t>
      </w:r>
      <w:r>
        <w:rPr>
          <w:rFonts w:cstheme="minorHAnsi"/>
          <w:color w:val="000000"/>
        </w:rPr>
        <w:t xml:space="preserve"> c</w:t>
      </w:r>
      <w:r w:rsidRPr="004D7EF8">
        <w:rPr>
          <w:rFonts w:cstheme="minorHAnsi"/>
          <w:color w:val="000000"/>
        </w:rPr>
        <w:t xml:space="preserve">redit duration </w:t>
      </w:r>
      <w:r>
        <w:rPr>
          <w:rFonts w:cstheme="minorHAnsi"/>
          <w:color w:val="000000"/>
        </w:rPr>
        <w:t>is further supported based on</w:t>
      </w:r>
      <w:r w:rsidRPr="004D7EF8">
        <w:rPr>
          <w:rFonts w:cstheme="minorHAnsi"/>
          <w:color w:val="000000"/>
        </w:rPr>
        <w:t>:</w:t>
      </w:r>
    </w:p>
    <w:p w14:paraId="053A5C49" w14:textId="77777777" w:rsidR="007A6E8E" w:rsidRPr="004D7EF8" w:rsidRDefault="007A6E8E" w:rsidP="007A6E8E">
      <w:pPr>
        <w:pStyle w:val="ListParagraph"/>
        <w:numPr>
          <w:ilvl w:val="0"/>
          <w:numId w:val="6"/>
        </w:numPr>
        <w:spacing w:after="0" w:line="240" w:lineRule="auto"/>
        <w:rPr>
          <w:rFonts w:cstheme="minorHAnsi"/>
          <w:color w:val="000000"/>
        </w:rPr>
      </w:pPr>
      <w:r w:rsidRPr="004D7EF8">
        <w:rPr>
          <w:rFonts w:cstheme="minorHAnsi"/>
          <w:color w:val="000000"/>
        </w:rPr>
        <w:lastRenderedPageBreak/>
        <w:t xml:space="preserve">Contract length (The majority of CREP forest buffers have 15 year contract commitment which includes required maintenance and oversight by USDA.  Contracts can be extended another 15 years, after the initial contract period.)  </w:t>
      </w:r>
    </w:p>
    <w:p w14:paraId="2AF30B20" w14:textId="77777777" w:rsidR="007A6E8E" w:rsidRPr="004D7EF8" w:rsidRDefault="007A6E8E" w:rsidP="007A6E8E">
      <w:pPr>
        <w:pStyle w:val="ListParagraph"/>
        <w:numPr>
          <w:ilvl w:val="0"/>
          <w:numId w:val="6"/>
        </w:numPr>
        <w:spacing w:after="0" w:line="240" w:lineRule="auto"/>
        <w:rPr>
          <w:rFonts w:cstheme="minorHAnsi"/>
          <w:color w:val="000000"/>
        </w:rPr>
      </w:pPr>
      <w:r w:rsidRPr="004D7EF8">
        <w:rPr>
          <w:rFonts w:cstheme="minorHAnsi"/>
          <w:color w:val="000000"/>
        </w:rPr>
        <w:t>Landowner investment— considerable investment is involved in establishing a forest and the landowner is unlikely to convert after establishment</w:t>
      </w:r>
      <w:r>
        <w:rPr>
          <w:rFonts w:cstheme="minorHAnsi"/>
          <w:color w:val="000000"/>
        </w:rPr>
        <w:t xml:space="preserve"> (see Practice Life discussion above)</w:t>
      </w:r>
      <w:r w:rsidRPr="004D7EF8">
        <w:rPr>
          <w:rFonts w:cstheme="minorHAnsi"/>
          <w:color w:val="000000"/>
        </w:rPr>
        <w:t>.</w:t>
      </w:r>
    </w:p>
    <w:p w14:paraId="48FEA3B7" w14:textId="426EED4D" w:rsidR="007A6E8E" w:rsidRPr="004D7EF8" w:rsidRDefault="007A6E8E" w:rsidP="00841E52">
      <w:pPr>
        <w:pStyle w:val="ListParagraph"/>
        <w:numPr>
          <w:ilvl w:val="0"/>
          <w:numId w:val="6"/>
        </w:numPr>
        <w:spacing w:line="240" w:lineRule="auto"/>
        <w:rPr>
          <w:rFonts w:cstheme="minorHAnsi"/>
          <w:color w:val="000000"/>
        </w:rPr>
      </w:pPr>
      <w:r w:rsidRPr="004D7EF8">
        <w:rPr>
          <w:rFonts w:cstheme="minorHAnsi"/>
          <w:color w:val="000000"/>
        </w:rPr>
        <w:t>Consultation with forester—forest plantings have a higher bar for planning, implementation and establishment and are therefore more likely to persist.</w:t>
      </w:r>
    </w:p>
    <w:p w14:paraId="512166C9" w14:textId="73D82F74" w:rsidR="0002608E" w:rsidRPr="004D7EF8" w:rsidRDefault="007A6E8E">
      <w:pPr>
        <w:spacing w:after="0" w:line="240" w:lineRule="auto"/>
        <w:rPr>
          <w:rFonts w:cstheme="minorHAnsi"/>
          <w:color w:val="000000"/>
        </w:rPr>
      </w:pPr>
      <w:r w:rsidRPr="004D7EF8">
        <w:rPr>
          <w:rFonts w:cstheme="minorHAnsi"/>
          <w:color w:val="000000"/>
        </w:rPr>
        <w:t xml:space="preserve">After 15 years, </w:t>
      </w:r>
      <w:r>
        <w:rPr>
          <w:rFonts w:cstheme="minorHAnsi"/>
          <w:color w:val="000000"/>
        </w:rPr>
        <w:t xml:space="preserve">new </w:t>
      </w:r>
      <w:r w:rsidRPr="004D7EF8">
        <w:rPr>
          <w:rFonts w:cstheme="minorHAnsi"/>
          <w:color w:val="000000"/>
        </w:rPr>
        <w:t>buffers will need to be verified to maintain the upslope efficiency in NEIEN.  The FWG proposes that</w:t>
      </w:r>
      <w:r>
        <w:rPr>
          <w:rFonts w:cstheme="minorHAnsi"/>
          <w:color w:val="000000"/>
        </w:rPr>
        <w:t>, if verified,</w:t>
      </w:r>
      <w:r w:rsidRPr="004D7EF8">
        <w:rPr>
          <w:rFonts w:cstheme="minorHAnsi"/>
          <w:color w:val="000000"/>
        </w:rPr>
        <w:t xml:space="preserve"> buffers </w:t>
      </w:r>
      <w:r>
        <w:rPr>
          <w:rFonts w:cstheme="minorHAnsi"/>
          <w:color w:val="000000"/>
        </w:rPr>
        <w:t>can</w:t>
      </w:r>
      <w:r w:rsidRPr="004D7EF8">
        <w:rPr>
          <w:rFonts w:cstheme="minorHAnsi"/>
          <w:color w:val="000000"/>
        </w:rPr>
        <w:t xml:space="preserve"> continue to receive </w:t>
      </w:r>
      <w:r>
        <w:rPr>
          <w:rFonts w:cstheme="minorHAnsi"/>
          <w:color w:val="000000"/>
        </w:rPr>
        <w:t xml:space="preserve">upslope efficiencies but not land use </w:t>
      </w:r>
      <w:r w:rsidRPr="004D7EF8">
        <w:rPr>
          <w:rFonts w:cstheme="minorHAnsi"/>
          <w:color w:val="000000"/>
        </w:rPr>
        <w:t>conversion credit after 1</w:t>
      </w:r>
      <w:r>
        <w:rPr>
          <w:rFonts w:cstheme="minorHAnsi"/>
          <w:color w:val="000000"/>
        </w:rPr>
        <w:t>5</w:t>
      </w:r>
      <w:r w:rsidRPr="004D7EF8">
        <w:rPr>
          <w:rFonts w:cstheme="minorHAnsi"/>
          <w:color w:val="000000"/>
        </w:rPr>
        <w:t xml:space="preserve"> years</w:t>
      </w:r>
      <w:r>
        <w:rPr>
          <w:rFonts w:cstheme="minorHAnsi"/>
          <w:color w:val="000000"/>
        </w:rPr>
        <w:t xml:space="preserve">.  Preliminary feedback from Bay Program experts is that the separation of the </w:t>
      </w:r>
      <w:r w:rsidR="00163282">
        <w:rPr>
          <w:rFonts w:cstheme="minorHAnsi"/>
          <w:color w:val="000000"/>
        </w:rPr>
        <w:t xml:space="preserve">upslope efficiency and the land use </w:t>
      </w:r>
      <w:r>
        <w:rPr>
          <w:rFonts w:cstheme="minorHAnsi"/>
          <w:color w:val="000000"/>
        </w:rPr>
        <w:t>credit</w:t>
      </w:r>
      <w:r w:rsidR="00163282">
        <w:rPr>
          <w:rFonts w:cstheme="minorHAnsi"/>
          <w:color w:val="000000"/>
        </w:rPr>
        <w:t>s</w:t>
      </w:r>
      <w:r>
        <w:rPr>
          <w:rFonts w:cstheme="minorHAnsi"/>
          <w:color w:val="000000"/>
        </w:rPr>
        <w:t xml:space="preserve"> can occur and be tracked in NEIEN.</w:t>
      </w:r>
      <w:r w:rsidR="00163282">
        <w:rPr>
          <w:rFonts w:cstheme="minorHAnsi"/>
          <w:color w:val="000000"/>
        </w:rPr>
        <w:t xml:space="preserve"> </w:t>
      </w:r>
      <w:r>
        <w:rPr>
          <w:rFonts w:cstheme="minorHAnsi"/>
          <w:bCs/>
        </w:rPr>
        <w:t xml:space="preserve">Non-buffer forestry practice credits </w:t>
      </w:r>
      <w:r w:rsidR="00163282">
        <w:rPr>
          <w:rFonts w:cstheme="minorHAnsi"/>
          <w:bCs/>
        </w:rPr>
        <w:t>will be picked up in</w:t>
      </w:r>
      <w:r>
        <w:rPr>
          <w:rFonts w:cstheme="minorHAnsi"/>
          <w:bCs/>
        </w:rPr>
        <w:t xml:space="preserve"> the Land Use Model</w:t>
      </w:r>
      <w:r w:rsidRPr="009821A3">
        <w:rPr>
          <w:rFonts w:cstheme="minorHAnsi"/>
          <w:bCs/>
        </w:rPr>
        <w:t xml:space="preserve"> </w:t>
      </w:r>
      <w:r w:rsidR="00163282">
        <w:rPr>
          <w:rFonts w:cstheme="minorHAnsi"/>
          <w:bCs/>
        </w:rPr>
        <w:t xml:space="preserve">and </w:t>
      </w:r>
      <w:r>
        <w:rPr>
          <w:rFonts w:cstheme="minorHAnsi"/>
          <w:bCs/>
        </w:rPr>
        <w:t xml:space="preserve">will not need to be Verified at the end of their Credit Duration.  </w:t>
      </w:r>
    </w:p>
    <w:p w14:paraId="458CBA65" w14:textId="77777777" w:rsidR="006C24D4" w:rsidRPr="004D7EF8" w:rsidRDefault="006C24D4" w:rsidP="006C24D4">
      <w:pPr>
        <w:spacing w:after="0" w:line="240" w:lineRule="auto"/>
        <w:rPr>
          <w:rFonts w:cstheme="minorHAnsi"/>
          <w:color w:val="000000"/>
        </w:rPr>
      </w:pPr>
    </w:p>
    <w:p w14:paraId="73A6BCF9" w14:textId="4D8E1186" w:rsidR="006C24D4" w:rsidRPr="007B2439" w:rsidRDefault="007A6E8E" w:rsidP="00841E52">
      <w:pPr>
        <w:rPr>
          <w:rFonts w:cstheme="minorHAnsi"/>
          <w:b/>
          <w:bCs/>
          <w:color w:val="000000"/>
          <w:u w:val="single"/>
        </w:rPr>
      </w:pPr>
      <w:r>
        <w:rPr>
          <w:rFonts w:cstheme="minorHAnsi"/>
          <w:b/>
          <w:bCs/>
          <w:color w:val="000000"/>
        </w:rPr>
        <w:t>Supporting documentation from Expert Panel reports</w:t>
      </w:r>
    </w:p>
    <w:p w14:paraId="5FEB5663" w14:textId="77B94999" w:rsidR="007A6E8E" w:rsidRPr="00615F93" w:rsidRDefault="007A6E8E" w:rsidP="009821A3">
      <w:pPr>
        <w:rPr>
          <w:rFonts w:cstheme="minorHAnsi"/>
          <w:color w:val="000000"/>
        </w:rPr>
      </w:pPr>
      <w:r w:rsidRPr="004D7EF8">
        <w:rPr>
          <w:rFonts w:cstheme="minorHAnsi"/>
          <w:color w:val="000000"/>
        </w:rPr>
        <w:t xml:space="preserve">The Riparian Forest Buffer Expert Panel (2014) debated whether to delay the assignation of credit until the planting was older but decided against it.  The following was excerpted from </w:t>
      </w:r>
      <w:r>
        <w:rPr>
          <w:rFonts w:cstheme="minorHAnsi"/>
          <w:color w:val="000000"/>
        </w:rPr>
        <w:t>their</w:t>
      </w:r>
      <w:r w:rsidRPr="004D7EF8">
        <w:rPr>
          <w:rFonts w:cstheme="minorHAnsi"/>
          <w:color w:val="000000"/>
        </w:rPr>
        <w:t xml:space="preserve"> report:  “</w:t>
      </w:r>
      <w:r w:rsidRPr="004D7EF8">
        <w:rPr>
          <w:rFonts w:cstheme="minorHAnsi"/>
        </w:rPr>
        <w:t>Some forest buffer functions are realized quickly following planting and increase as forest soil and canopy functions are rebuilt…</w:t>
      </w:r>
      <w:r>
        <w:rPr>
          <w:rFonts w:cstheme="minorHAnsi"/>
        </w:rPr>
        <w:t xml:space="preserve"> </w:t>
      </w:r>
      <w:r w:rsidRPr="004D7EF8">
        <w:rPr>
          <w:rFonts w:cstheme="minorHAnsi"/>
        </w:rPr>
        <w:t xml:space="preserve">the recommended efficiencies for forest buffers are sufficiently conservative to address any lower efficiency experienced when buffers are new.”  For the first year of a buffer planting, it functions as a grass buffer which receives 70% the efficiency of a forest buffer.  The first 1-4 years of establishment, the forest planting looks and functions much like a mixed-open land use, which loads slightly </w:t>
      </w:r>
      <w:r>
        <w:rPr>
          <w:rFonts w:cstheme="minorHAnsi"/>
        </w:rPr>
        <w:t>more</w:t>
      </w:r>
      <w:r w:rsidRPr="004D7EF8">
        <w:rPr>
          <w:rFonts w:cstheme="minorHAnsi"/>
        </w:rPr>
        <w:t xml:space="preserve"> than forest in </w:t>
      </w:r>
      <w:r w:rsidRPr="006C24D4">
        <w:rPr>
          <w:rFonts w:cstheme="minorHAnsi"/>
        </w:rPr>
        <w:t xml:space="preserve">CAST (i.e., for nitrogen, </w:t>
      </w:r>
      <w:r w:rsidRPr="00F571D1">
        <w:rPr>
          <w:rFonts w:eastAsia="Times New Roman"/>
          <w:color w:val="000000"/>
        </w:rPr>
        <w:t>forest loads around 1.5 #/acre/yr and Mixed Open loads around 1.8 - 2.0#/acre/</w:t>
      </w:r>
      <w:proofErr w:type="spellStart"/>
      <w:r w:rsidRPr="00F571D1">
        <w:rPr>
          <w:rFonts w:eastAsia="Times New Roman"/>
          <w:color w:val="000000"/>
        </w:rPr>
        <w:t>yr</w:t>
      </w:r>
      <w:proofErr w:type="spellEnd"/>
      <w:r w:rsidRPr="00F571D1">
        <w:rPr>
          <w:rFonts w:eastAsia="Times New Roman"/>
          <w:color w:val="000000"/>
        </w:rPr>
        <w:t>).</w:t>
      </w:r>
      <w:r>
        <w:rPr>
          <w:rFonts w:eastAsia="Times New Roman"/>
          <w:color w:val="000000"/>
          <w:sz w:val="24"/>
          <w:szCs w:val="24"/>
        </w:rPr>
        <w:t xml:space="preserve">  </w:t>
      </w:r>
    </w:p>
    <w:p w14:paraId="632BCFA6" w14:textId="2253A1ED" w:rsidR="004D7EF8" w:rsidRDefault="004D7EF8" w:rsidP="004D7EF8">
      <w:r>
        <w:t xml:space="preserve">The </w:t>
      </w:r>
      <w:r w:rsidR="00DA7219">
        <w:t xml:space="preserve">2016 </w:t>
      </w:r>
      <w:r>
        <w:t>Tree Canopy Expert Panel</w:t>
      </w:r>
      <w:r w:rsidR="007A6E8E">
        <w:t xml:space="preserve"> (</w:t>
      </w:r>
      <w:proofErr w:type="spellStart"/>
      <w:r w:rsidR="007A6E8E">
        <w:t>Cappiella</w:t>
      </w:r>
      <w:proofErr w:type="spellEnd"/>
      <w:r w:rsidR="007A6E8E">
        <w:t xml:space="preserve"> et al.)</w:t>
      </w:r>
      <w:r>
        <w:t xml:space="preserve"> researched </w:t>
      </w:r>
      <w:r w:rsidR="00DA7219">
        <w:t>the question of when</w:t>
      </w:r>
      <w:r>
        <w:t xml:space="preserve"> planted trees are expected to be picked up in the land cover data</w:t>
      </w:r>
      <w:r w:rsidR="00163282">
        <w:t>:</w:t>
      </w:r>
      <w:r>
        <w:t xml:space="preserve">  </w:t>
      </w:r>
    </w:p>
    <w:p w14:paraId="22CA09C5" w14:textId="77777777" w:rsidR="004D7EF8" w:rsidRDefault="004D7EF8" w:rsidP="00841E52">
      <w:pPr>
        <w:pStyle w:val="Default"/>
        <w:rPr>
          <w:sz w:val="22"/>
          <w:szCs w:val="22"/>
        </w:rPr>
      </w:pPr>
      <w:r>
        <w:rPr>
          <w:b/>
          <w:bCs/>
          <w:sz w:val="22"/>
          <w:szCs w:val="22"/>
        </w:rPr>
        <w:t xml:space="preserve">Recommendation 1: Decision Rule for Tree Canopy as a BMP and as a Land Use </w:t>
      </w:r>
    </w:p>
    <w:p w14:paraId="6F211228" w14:textId="599D2DFE" w:rsidR="004D7EF8" w:rsidRDefault="004D7EF8" w:rsidP="00841E52">
      <w:r>
        <w:t>The high resolution imagery used by the Partnership to develop the Phase 6 CBWM land use distribution has a minimum mapping unit for tree canopy land uses of 97-ft</w:t>
      </w:r>
      <w:r>
        <w:rPr>
          <w:sz w:val="14"/>
          <w:szCs w:val="14"/>
        </w:rPr>
        <w:t xml:space="preserve">2 </w:t>
      </w:r>
      <w:r>
        <w:t>in area (Chesapeake Bay Image Interpretation and Mapping Standards, Chesapeake Conservancy, and pers. comm., J. O’Neil-Dunne, University of Vermont, 1/21/2016). In review of the Forecast results, a tree will, on average, meet the 97 sq. ft. threshold 10 years after planting (assuming a DBH of 1” at planting with an assumed mortality of 5%). Therefore, the recommended decision rule be that trees will require a minimum of 10 years growth after planting to reach an area necessary to be captured by high resolution imagery and mapped as a land use. Based on this decision rule, trees planted for BMP credit in 2016 and onward will continue to be tracked as a BMP through 2025.</w:t>
      </w:r>
    </w:p>
    <w:p w14:paraId="62C272C7" w14:textId="3D75B9C0" w:rsidR="004D7EF8" w:rsidRDefault="004D7EF8" w:rsidP="00841E52">
      <w:pPr>
        <w:pStyle w:val="Default"/>
        <w:rPr>
          <w:sz w:val="22"/>
          <w:szCs w:val="22"/>
        </w:rPr>
      </w:pPr>
      <w:r>
        <w:rPr>
          <w:b/>
          <w:bCs/>
          <w:sz w:val="22"/>
          <w:szCs w:val="22"/>
        </w:rPr>
        <w:t xml:space="preserve">Recommendation 2: Lifespan of Annual BMP Credit </w:t>
      </w:r>
      <w:r w:rsidR="007B2439">
        <w:rPr>
          <w:b/>
          <w:bCs/>
          <w:sz w:val="22"/>
          <w:szCs w:val="22"/>
        </w:rPr>
        <w:t>(Credit Duration)</w:t>
      </w:r>
    </w:p>
    <w:p w14:paraId="58BA2C03" w14:textId="77777777" w:rsidR="004D7EF8" w:rsidRDefault="004D7EF8" w:rsidP="00841E52">
      <w:r>
        <w:t>The lifespan of the BMP credit is based on the time period until it is mapped as a land use based on the high resolution imagery analysis completed by the Partnership and i-Tree Forecast results (i.e., minimum of 10 years of growth after planting). This BMP would not be eligible for renewal in the NEIEN once it is classified as a land use to avoid double counting of tree canopy acreage.</w:t>
      </w:r>
    </w:p>
    <w:p w14:paraId="26CBC404" w14:textId="156BDC35" w:rsidR="00F20100" w:rsidRPr="004D7EF8" w:rsidRDefault="00F20100">
      <w:pPr>
        <w:rPr>
          <w:rFonts w:cstheme="minorHAnsi"/>
          <w:bCs/>
          <w:sz w:val="24"/>
          <w:szCs w:val="24"/>
          <w:u w:val="single"/>
        </w:rPr>
      </w:pPr>
      <w:r w:rsidRPr="004D7EF8">
        <w:rPr>
          <w:rFonts w:cstheme="minorHAnsi"/>
          <w:bCs/>
          <w:sz w:val="24"/>
          <w:szCs w:val="24"/>
          <w:u w:val="single"/>
        </w:rPr>
        <w:t>References</w:t>
      </w:r>
    </w:p>
    <w:p w14:paraId="2C95EB6D" w14:textId="5209C6EC" w:rsidR="00DA7219" w:rsidRPr="00DA7219" w:rsidRDefault="00E667AE">
      <w:pPr>
        <w:rPr>
          <w:rFonts w:cstheme="minorHAnsi"/>
          <w:sz w:val="24"/>
          <w:szCs w:val="24"/>
        </w:rPr>
      </w:pPr>
      <w:r w:rsidRPr="00DA7219">
        <w:rPr>
          <w:rFonts w:cstheme="minorHAnsi"/>
          <w:sz w:val="24"/>
          <w:szCs w:val="24"/>
        </w:rPr>
        <w:lastRenderedPageBreak/>
        <w:t>Belt et al.  Recommendations of the Expert Panel to Reassess Removal Rates of Riparian Forest Buffers and Riparian Grass Buffer BMPs.  October 2014.</w:t>
      </w:r>
      <w:r w:rsidR="00B16DE3" w:rsidRPr="00DA7219">
        <w:rPr>
          <w:rFonts w:cstheme="minorHAnsi"/>
          <w:sz w:val="24"/>
          <w:szCs w:val="24"/>
        </w:rPr>
        <w:t xml:space="preserve"> </w:t>
      </w:r>
      <w:hyperlink r:id="rId10" w:history="1">
        <w:r w:rsidR="00B16DE3" w:rsidRPr="00DA7219">
          <w:rPr>
            <w:rStyle w:val="Hyperlink"/>
            <w:rFonts w:cstheme="minorHAnsi"/>
            <w:sz w:val="24"/>
            <w:szCs w:val="24"/>
          </w:rPr>
          <w:t>https://www.chesapeakebay.net/documents/Riparian_BMP_Panel_Report_FINAL_October_2014.pdf</w:t>
        </w:r>
      </w:hyperlink>
    </w:p>
    <w:p w14:paraId="4A3D4607" w14:textId="0DD19BDB" w:rsidR="00DA7219" w:rsidRPr="00DA7219" w:rsidRDefault="00DA7219">
      <w:pPr>
        <w:rPr>
          <w:rFonts w:cstheme="minorHAnsi"/>
          <w:sz w:val="24"/>
          <w:szCs w:val="24"/>
        </w:rPr>
      </w:pPr>
      <w:r w:rsidRPr="00DA7219">
        <w:rPr>
          <w:rFonts w:cstheme="minorHAnsi"/>
          <w:sz w:val="24"/>
          <w:szCs w:val="24"/>
        </w:rPr>
        <w:t xml:space="preserve">Cappiella et al. 2016.  Recommendations of the Expert Panel to Define BMP Effectiveness for Urban Tree Canopy Expansion.  </w:t>
      </w:r>
      <w:r>
        <w:rPr>
          <w:rFonts w:cstheme="minorHAnsi"/>
          <w:sz w:val="24"/>
          <w:szCs w:val="24"/>
        </w:rPr>
        <w:t>Approved by WQGIT September 2016.</w:t>
      </w:r>
    </w:p>
    <w:p w14:paraId="0FC2344D" w14:textId="18F59DA6" w:rsidR="00DA7219" w:rsidRDefault="008F3A72" w:rsidP="00DA7219">
      <w:pPr>
        <w:pStyle w:val="BodyTextBeforeBullet"/>
        <w:spacing w:after="0"/>
        <w:rPr>
          <w:rFonts w:asciiTheme="minorHAnsi" w:eastAsiaTheme="minorHAnsi" w:hAnsiTheme="minorHAnsi" w:cstheme="minorHAnsi"/>
          <w:sz w:val="24"/>
          <w:szCs w:val="24"/>
        </w:rPr>
      </w:pPr>
      <w:r w:rsidRPr="00DA7219">
        <w:rPr>
          <w:rFonts w:asciiTheme="minorHAnsi" w:eastAsiaTheme="minorHAnsi" w:hAnsiTheme="minorHAnsi" w:cstheme="minorHAnsi"/>
          <w:sz w:val="24"/>
          <w:szCs w:val="24"/>
        </w:rPr>
        <w:t xml:space="preserve">Cooper, E.R. 2005. The Attitudes and Opinions of Pennsylvania Conservation Reserve Enhancement Program (CREP) Participants Towards Riparian Buffers and Conservation Easements. A Thesis in Forest Resources Submitted in Partial Fulfillment of the Requirements for the Degree of Master of Science, The Pennsylvania State University. State College. PA. </w:t>
      </w:r>
    </w:p>
    <w:p w14:paraId="21ADAA58" w14:textId="77777777" w:rsidR="00DA7219" w:rsidRPr="00DA7219" w:rsidRDefault="00DA7219" w:rsidP="00DA7219">
      <w:pPr>
        <w:pStyle w:val="BodyTextBeforeBullet"/>
        <w:spacing w:after="0"/>
        <w:rPr>
          <w:rFonts w:asciiTheme="minorHAnsi" w:eastAsiaTheme="minorHAnsi" w:hAnsiTheme="minorHAnsi" w:cstheme="minorHAnsi"/>
          <w:sz w:val="12"/>
          <w:szCs w:val="12"/>
        </w:rPr>
      </w:pPr>
    </w:p>
    <w:p w14:paraId="4CE52C1D" w14:textId="1035E5FA" w:rsidR="00DA7219" w:rsidRDefault="000C4A46" w:rsidP="004D7EF8">
      <w:pPr>
        <w:spacing w:line="240" w:lineRule="auto"/>
        <w:rPr>
          <w:rFonts w:cstheme="minorHAnsi"/>
          <w:sz w:val="24"/>
          <w:szCs w:val="24"/>
        </w:rPr>
      </w:pPr>
      <w:r w:rsidRPr="00DA7219">
        <w:rPr>
          <w:rFonts w:cstheme="minorHAnsi"/>
          <w:sz w:val="24"/>
          <w:szCs w:val="24"/>
        </w:rPr>
        <w:t xml:space="preserve">English, D. and S. Hyberg 2019.  </w:t>
      </w:r>
      <w:bookmarkStart w:id="0" w:name="_MON_1603995529"/>
      <w:bookmarkEnd w:id="0"/>
      <w:r w:rsidRPr="00DA7219">
        <w:rPr>
          <w:rFonts w:cstheme="minorHAnsi"/>
          <w:sz w:val="24"/>
          <w:szCs w:val="24"/>
        </w:rPr>
        <w:t>Retaining conservation investment: An examination of Chesapeake Bay CREP riparian buffers.  Submitted to Chesapeake Bay</w:t>
      </w:r>
      <w:r w:rsidR="004D7EF8" w:rsidRPr="00DA7219">
        <w:rPr>
          <w:rFonts w:cstheme="minorHAnsi"/>
          <w:sz w:val="24"/>
          <w:szCs w:val="24"/>
        </w:rPr>
        <w:t xml:space="preserve"> and </w:t>
      </w:r>
      <w:r w:rsidR="00DA7219" w:rsidRPr="00DA7219">
        <w:rPr>
          <w:rFonts w:cstheme="minorHAnsi"/>
          <w:sz w:val="24"/>
          <w:szCs w:val="24"/>
        </w:rPr>
        <w:t>for</w:t>
      </w:r>
      <w:r w:rsidR="004D7EF8" w:rsidRPr="00DA7219">
        <w:rPr>
          <w:rFonts w:cstheme="minorHAnsi"/>
          <w:sz w:val="24"/>
          <w:szCs w:val="24"/>
        </w:rPr>
        <w:t xml:space="preserve"> publ</w:t>
      </w:r>
      <w:r w:rsidR="00DA7219" w:rsidRPr="00DA7219">
        <w:rPr>
          <w:rFonts w:cstheme="minorHAnsi"/>
          <w:sz w:val="24"/>
          <w:szCs w:val="24"/>
        </w:rPr>
        <w:t>ication</w:t>
      </w:r>
      <w:r w:rsidR="004D7EF8" w:rsidRPr="00DA7219">
        <w:rPr>
          <w:rFonts w:cstheme="minorHAnsi"/>
          <w:sz w:val="24"/>
          <w:szCs w:val="24"/>
        </w:rPr>
        <w:t xml:space="preserve">.  </w:t>
      </w:r>
      <w:hyperlink r:id="rId11" w:history="1">
        <w:r w:rsidR="00DA7219" w:rsidRPr="008A1F56">
          <w:rPr>
            <w:rStyle w:val="Hyperlink"/>
            <w:rFonts w:cstheme="minorHAnsi"/>
            <w:sz w:val="24"/>
            <w:szCs w:val="24"/>
          </w:rPr>
          <w:t>https://www.chesapeakebay.net/channel_files/24880/landowner_survey_preliminary_results.pdf</w:t>
        </w:r>
      </w:hyperlink>
      <w:r w:rsidR="00DA7219">
        <w:rPr>
          <w:rFonts w:cstheme="minorHAnsi"/>
          <w:sz w:val="24"/>
          <w:szCs w:val="24"/>
        </w:rPr>
        <w:t>.</w:t>
      </w:r>
    </w:p>
    <w:p w14:paraId="1FB81DA1" w14:textId="7D6845F7" w:rsidR="008F3A72" w:rsidRPr="007801F7" w:rsidRDefault="00C56957" w:rsidP="007801F7">
      <w:pPr>
        <w:spacing w:line="240" w:lineRule="auto"/>
        <w:rPr>
          <w:rFonts w:cstheme="minorHAnsi"/>
          <w:sz w:val="24"/>
          <w:szCs w:val="24"/>
        </w:rPr>
      </w:pPr>
      <w:r w:rsidRPr="00DA7219">
        <w:rPr>
          <w:rFonts w:cstheme="minorHAnsi"/>
          <w:sz w:val="24"/>
          <w:szCs w:val="24"/>
        </w:rPr>
        <w:t>Fesco, R.X., H.F. Kaiser, J.P. Royer and M.Wiedenhamer. 1982. Management practices and</w:t>
      </w:r>
      <w:r w:rsidR="004D7EF8" w:rsidRPr="00DA7219">
        <w:rPr>
          <w:rFonts w:cstheme="minorHAnsi"/>
          <w:sz w:val="24"/>
          <w:szCs w:val="24"/>
        </w:rPr>
        <w:t xml:space="preserve"> </w:t>
      </w:r>
      <w:r w:rsidRPr="00DA7219">
        <w:rPr>
          <w:rFonts w:cstheme="minorHAnsi"/>
          <w:sz w:val="24"/>
          <w:szCs w:val="24"/>
        </w:rPr>
        <w:t xml:space="preserve">reforestation decisions for harvested southern pinelands. Staff Report No. AGES5821230. Washington DC.: USDA, Statistical Reporting Service. </w:t>
      </w:r>
    </w:p>
    <w:sectPr w:rsidR="008F3A72" w:rsidRPr="007801F7">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130F1" w14:textId="77777777" w:rsidR="008472E2" w:rsidRDefault="008472E2" w:rsidP="007000DF">
      <w:pPr>
        <w:spacing w:after="0" w:line="240" w:lineRule="auto"/>
      </w:pPr>
      <w:r>
        <w:separator/>
      </w:r>
    </w:p>
  </w:endnote>
  <w:endnote w:type="continuationSeparator" w:id="0">
    <w:p w14:paraId="36087D96" w14:textId="77777777" w:rsidR="008472E2" w:rsidRDefault="008472E2" w:rsidP="0070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4617852"/>
      <w:docPartObj>
        <w:docPartGallery w:val="Page Numbers (Bottom of Page)"/>
        <w:docPartUnique/>
      </w:docPartObj>
    </w:sdtPr>
    <w:sdtEndPr>
      <w:rPr>
        <w:noProof/>
      </w:rPr>
    </w:sdtEndPr>
    <w:sdtContent>
      <w:p w14:paraId="4A338C9D" w14:textId="2406DD34" w:rsidR="00A557CE" w:rsidRDefault="00A557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0A3E17" w14:textId="2D4C9534" w:rsidR="007000DF" w:rsidRDefault="00700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D99A7" w14:textId="77777777" w:rsidR="008472E2" w:rsidRDefault="008472E2" w:rsidP="007000DF">
      <w:pPr>
        <w:spacing w:after="0" w:line="240" w:lineRule="auto"/>
      </w:pPr>
      <w:r>
        <w:separator/>
      </w:r>
    </w:p>
  </w:footnote>
  <w:footnote w:type="continuationSeparator" w:id="0">
    <w:p w14:paraId="0A2C0F15" w14:textId="77777777" w:rsidR="008472E2" w:rsidRDefault="008472E2" w:rsidP="00700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D28C7" w14:textId="6F053489" w:rsidR="007000DF" w:rsidRDefault="0009720E">
    <w:pPr>
      <w:pStyle w:val="Header"/>
    </w:pPr>
    <w:r>
      <w:rPr>
        <w:noProof/>
      </w:rPr>
      <w:pict w14:anchorId="482FD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2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F98A" w14:textId="727DEE2F" w:rsidR="007000DF" w:rsidRDefault="0009720E">
    <w:pPr>
      <w:pStyle w:val="Header"/>
    </w:pPr>
    <w:r>
      <w:rPr>
        <w:noProof/>
      </w:rPr>
      <w:pict w14:anchorId="0F420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2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E80D5" w14:textId="0FF201FF" w:rsidR="007000DF" w:rsidRDefault="0009720E">
    <w:pPr>
      <w:pStyle w:val="Header"/>
    </w:pPr>
    <w:r>
      <w:rPr>
        <w:noProof/>
      </w:rPr>
      <w:pict w14:anchorId="6E175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2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53C63"/>
    <w:multiLevelType w:val="hybridMultilevel"/>
    <w:tmpl w:val="C3320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175E"/>
    <w:multiLevelType w:val="hybridMultilevel"/>
    <w:tmpl w:val="7ADE3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51E5552"/>
    <w:multiLevelType w:val="hybridMultilevel"/>
    <w:tmpl w:val="E926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B578C2"/>
    <w:multiLevelType w:val="hybridMultilevel"/>
    <w:tmpl w:val="0FB0274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5FA75602"/>
    <w:multiLevelType w:val="hybridMultilevel"/>
    <w:tmpl w:val="C56EA3E4"/>
    <w:lvl w:ilvl="0" w:tplc="0D82A278">
      <w:start w:val="1"/>
      <w:numFmt w:val="decimal"/>
      <w:lvlText w:val="%1)"/>
      <w:lvlJc w:val="left"/>
      <w:pPr>
        <w:tabs>
          <w:tab w:val="num" w:pos="720"/>
        </w:tabs>
        <w:ind w:left="720" w:hanging="360"/>
      </w:pPr>
    </w:lvl>
    <w:lvl w:ilvl="1" w:tplc="7E6A0742" w:tentative="1">
      <w:start w:val="1"/>
      <w:numFmt w:val="decimal"/>
      <w:lvlText w:val="%2)"/>
      <w:lvlJc w:val="left"/>
      <w:pPr>
        <w:tabs>
          <w:tab w:val="num" w:pos="1440"/>
        </w:tabs>
        <w:ind w:left="1440" w:hanging="360"/>
      </w:pPr>
    </w:lvl>
    <w:lvl w:ilvl="2" w:tplc="BCB85FEC" w:tentative="1">
      <w:start w:val="1"/>
      <w:numFmt w:val="decimal"/>
      <w:lvlText w:val="%3)"/>
      <w:lvlJc w:val="left"/>
      <w:pPr>
        <w:tabs>
          <w:tab w:val="num" w:pos="2160"/>
        </w:tabs>
        <w:ind w:left="2160" w:hanging="360"/>
      </w:pPr>
    </w:lvl>
    <w:lvl w:ilvl="3" w:tplc="5EE602D0" w:tentative="1">
      <w:start w:val="1"/>
      <w:numFmt w:val="decimal"/>
      <w:lvlText w:val="%4)"/>
      <w:lvlJc w:val="left"/>
      <w:pPr>
        <w:tabs>
          <w:tab w:val="num" w:pos="2880"/>
        </w:tabs>
        <w:ind w:left="2880" w:hanging="360"/>
      </w:pPr>
    </w:lvl>
    <w:lvl w:ilvl="4" w:tplc="4966623A" w:tentative="1">
      <w:start w:val="1"/>
      <w:numFmt w:val="decimal"/>
      <w:lvlText w:val="%5)"/>
      <w:lvlJc w:val="left"/>
      <w:pPr>
        <w:tabs>
          <w:tab w:val="num" w:pos="3600"/>
        </w:tabs>
        <w:ind w:left="3600" w:hanging="360"/>
      </w:pPr>
    </w:lvl>
    <w:lvl w:ilvl="5" w:tplc="C5D61E28" w:tentative="1">
      <w:start w:val="1"/>
      <w:numFmt w:val="decimal"/>
      <w:lvlText w:val="%6)"/>
      <w:lvlJc w:val="left"/>
      <w:pPr>
        <w:tabs>
          <w:tab w:val="num" w:pos="4320"/>
        </w:tabs>
        <w:ind w:left="4320" w:hanging="360"/>
      </w:pPr>
    </w:lvl>
    <w:lvl w:ilvl="6" w:tplc="51BC01B0" w:tentative="1">
      <w:start w:val="1"/>
      <w:numFmt w:val="decimal"/>
      <w:lvlText w:val="%7)"/>
      <w:lvlJc w:val="left"/>
      <w:pPr>
        <w:tabs>
          <w:tab w:val="num" w:pos="5040"/>
        </w:tabs>
        <w:ind w:left="5040" w:hanging="360"/>
      </w:pPr>
    </w:lvl>
    <w:lvl w:ilvl="7" w:tplc="FF6EBCCA" w:tentative="1">
      <w:start w:val="1"/>
      <w:numFmt w:val="decimal"/>
      <w:lvlText w:val="%8)"/>
      <w:lvlJc w:val="left"/>
      <w:pPr>
        <w:tabs>
          <w:tab w:val="num" w:pos="5760"/>
        </w:tabs>
        <w:ind w:left="5760" w:hanging="360"/>
      </w:pPr>
    </w:lvl>
    <w:lvl w:ilvl="8" w:tplc="4BE2844C" w:tentative="1">
      <w:start w:val="1"/>
      <w:numFmt w:val="decimal"/>
      <w:lvlText w:val="%9)"/>
      <w:lvlJc w:val="left"/>
      <w:pPr>
        <w:tabs>
          <w:tab w:val="num" w:pos="6480"/>
        </w:tabs>
        <w:ind w:left="6480" w:hanging="360"/>
      </w:pPr>
    </w:lvl>
  </w:abstractNum>
  <w:abstractNum w:abstractNumId="5" w15:restartNumberingAfterBreak="0">
    <w:nsid w:val="746C2A7A"/>
    <w:multiLevelType w:val="hybridMultilevel"/>
    <w:tmpl w:val="A76A0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0"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DB"/>
    <w:rsid w:val="0002608E"/>
    <w:rsid w:val="00032CF0"/>
    <w:rsid w:val="0009720E"/>
    <w:rsid w:val="000A226F"/>
    <w:rsid w:val="000C215E"/>
    <w:rsid w:val="000C4A46"/>
    <w:rsid w:val="00123DB0"/>
    <w:rsid w:val="00163282"/>
    <w:rsid w:val="001776C1"/>
    <w:rsid w:val="00193922"/>
    <w:rsid w:val="00195869"/>
    <w:rsid w:val="002512F4"/>
    <w:rsid w:val="00251307"/>
    <w:rsid w:val="00253C6D"/>
    <w:rsid w:val="002823DB"/>
    <w:rsid w:val="002923AD"/>
    <w:rsid w:val="002D10B3"/>
    <w:rsid w:val="002F170B"/>
    <w:rsid w:val="002F5580"/>
    <w:rsid w:val="002F771E"/>
    <w:rsid w:val="0037755F"/>
    <w:rsid w:val="003869FA"/>
    <w:rsid w:val="003E04DA"/>
    <w:rsid w:val="004229A5"/>
    <w:rsid w:val="0043575A"/>
    <w:rsid w:val="004B2503"/>
    <w:rsid w:val="004D7EF8"/>
    <w:rsid w:val="00505D08"/>
    <w:rsid w:val="00530D02"/>
    <w:rsid w:val="00543E0E"/>
    <w:rsid w:val="0054423E"/>
    <w:rsid w:val="0055799A"/>
    <w:rsid w:val="00615F93"/>
    <w:rsid w:val="00620770"/>
    <w:rsid w:val="0063498C"/>
    <w:rsid w:val="006A3CD3"/>
    <w:rsid w:val="006B264B"/>
    <w:rsid w:val="006C24D4"/>
    <w:rsid w:val="006E43EE"/>
    <w:rsid w:val="006F2D26"/>
    <w:rsid w:val="007000DF"/>
    <w:rsid w:val="0070713A"/>
    <w:rsid w:val="007353EC"/>
    <w:rsid w:val="0073619B"/>
    <w:rsid w:val="00740350"/>
    <w:rsid w:val="00746EFF"/>
    <w:rsid w:val="00756288"/>
    <w:rsid w:val="00774C83"/>
    <w:rsid w:val="007801F7"/>
    <w:rsid w:val="007942FF"/>
    <w:rsid w:val="007A6E8E"/>
    <w:rsid w:val="007B19CC"/>
    <w:rsid w:val="007B2439"/>
    <w:rsid w:val="007E523B"/>
    <w:rsid w:val="00841E52"/>
    <w:rsid w:val="008472E2"/>
    <w:rsid w:val="00896CD7"/>
    <w:rsid w:val="008D7F36"/>
    <w:rsid w:val="008F3A72"/>
    <w:rsid w:val="009136CB"/>
    <w:rsid w:val="00932DA7"/>
    <w:rsid w:val="009808B7"/>
    <w:rsid w:val="009821A3"/>
    <w:rsid w:val="009D2925"/>
    <w:rsid w:val="00A17CFE"/>
    <w:rsid w:val="00A438B7"/>
    <w:rsid w:val="00A45456"/>
    <w:rsid w:val="00A557CE"/>
    <w:rsid w:val="00AA3214"/>
    <w:rsid w:val="00AD6549"/>
    <w:rsid w:val="00AE5E2C"/>
    <w:rsid w:val="00B13051"/>
    <w:rsid w:val="00B16DE3"/>
    <w:rsid w:val="00B25C77"/>
    <w:rsid w:val="00B538E5"/>
    <w:rsid w:val="00B612CE"/>
    <w:rsid w:val="00B77423"/>
    <w:rsid w:val="00BC2E22"/>
    <w:rsid w:val="00BE671D"/>
    <w:rsid w:val="00C25DAC"/>
    <w:rsid w:val="00C56957"/>
    <w:rsid w:val="00C57875"/>
    <w:rsid w:val="00CA0800"/>
    <w:rsid w:val="00CF07E1"/>
    <w:rsid w:val="00D44219"/>
    <w:rsid w:val="00D62BC6"/>
    <w:rsid w:val="00D9363B"/>
    <w:rsid w:val="00DA7219"/>
    <w:rsid w:val="00DC62AA"/>
    <w:rsid w:val="00E12144"/>
    <w:rsid w:val="00E507F1"/>
    <w:rsid w:val="00E521BB"/>
    <w:rsid w:val="00E54200"/>
    <w:rsid w:val="00E667AE"/>
    <w:rsid w:val="00E7275B"/>
    <w:rsid w:val="00E729C9"/>
    <w:rsid w:val="00E96304"/>
    <w:rsid w:val="00EA17EF"/>
    <w:rsid w:val="00EF7E94"/>
    <w:rsid w:val="00F20100"/>
    <w:rsid w:val="00F25219"/>
    <w:rsid w:val="00F26EA1"/>
    <w:rsid w:val="00F528EF"/>
    <w:rsid w:val="00F60A05"/>
    <w:rsid w:val="00F6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17C11"/>
  <w15:chartTrackingRefBased/>
  <w15:docId w15:val="{DF7846C2-2FBB-471A-9927-821C5AFF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3DB"/>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3DB"/>
    <w:pPr>
      <w:spacing w:line="254" w:lineRule="auto"/>
      <w:ind w:left="720"/>
      <w:contextualSpacing/>
    </w:pPr>
  </w:style>
  <w:style w:type="table" w:styleId="TableGrid">
    <w:name w:val="Table Grid"/>
    <w:basedOn w:val="TableNormal"/>
    <w:uiPriority w:val="39"/>
    <w:rsid w:val="00E12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DF"/>
  </w:style>
  <w:style w:type="paragraph" w:styleId="Footer">
    <w:name w:val="footer"/>
    <w:basedOn w:val="Normal"/>
    <w:link w:val="FooterChar"/>
    <w:uiPriority w:val="99"/>
    <w:unhideWhenUsed/>
    <w:rsid w:val="0070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DF"/>
  </w:style>
  <w:style w:type="paragraph" w:styleId="BalloonText">
    <w:name w:val="Balloon Text"/>
    <w:basedOn w:val="Normal"/>
    <w:link w:val="BalloonTextChar"/>
    <w:uiPriority w:val="99"/>
    <w:semiHidden/>
    <w:unhideWhenUsed/>
    <w:rsid w:val="006B2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64B"/>
    <w:rPr>
      <w:rFonts w:ascii="Segoe UI" w:hAnsi="Segoe UI" w:cs="Segoe UI"/>
      <w:sz w:val="18"/>
      <w:szCs w:val="18"/>
    </w:rPr>
  </w:style>
  <w:style w:type="paragraph" w:customStyle="1" w:styleId="BodyTextBeforeBullet">
    <w:name w:val="Body Text Before Bullet"/>
    <w:qFormat/>
    <w:rsid w:val="008F3A72"/>
    <w:pPr>
      <w:spacing w:before="120" w:after="60" w:line="240" w:lineRule="auto"/>
    </w:pPr>
    <w:rPr>
      <w:rFonts w:ascii="Times New Roman" w:eastAsia="Arial" w:hAnsi="Times New Roman" w:cs="Times New Roman"/>
    </w:rPr>
  </w:style>
  <w:style w:type="character" w:styleId="CommentReference">
    <w:name w:val="annotation reference"/>
    <w:basedOn w:val="DefaultParagraphFont"/>
    <w:uiPriority w:val="99"/>
    <w:semiHidden/>
    <w:unhideWhenUsed/>
    <w:rsid w:val="00746EFF"/>
    <w:rPr>
      <w:sz w:val="16"/>
      <w:szCs w:val="16"/>
    </w:rPr>
  </w:style>
  <w:style w:type="paragraph" w:styleId="CommentText">
    <w:name w:val="annotation text"/>
    <w:basedOn w:val="Normal"/>
    <w:link w:val="CommentTextChar"/>
    <w:uiPriority w:val="99"/>
    <w:semiHidden/>
    <w:unhideWhenUsed/>
    <w:rsid w:val="00746EFF"/>
    <w:pPr>
      <w:spacing w:line="240" w:lineRule="auto"/>
    </w:pPr>
    <w:rPr>
      <w:sz w:val="20"/>
      <w:szCs w:val="20"/>
    </w:rPr>
  </w:style>
  <w:style w:type="character" w:customStyle="1" w:styleId="CommentTextChar">
    <w:name w:val="Comment Text Char"/>
    <w:basedOn w:val="DefaultParagraphFont"/>
    <w:link w:val="CommentText"/>
    <w:uiPriority w:val="99"/>
    <w:semiHidden/>
    <w:rsid w:val="00746EFF"/>
    <w:rPr>
      <w:sz w:val="20"/>
      <w:szCs w:val="20"/>
    </w:rPr>
  </w:style>
  <w:style w:type="character" w:styleId="Hyperlink">
    <w:name w:val="Hyperlink"/>
    <w:basedOn w:val="DefaultParagraphFont"/>
    <w:uiPriority w:val="99"/>
    <w:unhideWhenUsed/>
    <w:rsid w:val="00B16DE3"/>
    <w:rPr>
      <w:color w:val="0563C1" w:themeColor="hyperlink"/>
      <w:u w:val="single"/>
    </w:rPr>
  </w:style>
  <w:style w:type="character" w:styleId="UnresolvedMention">
    <w:name w:val="Unresolved Mention"/>
    <w:basedOn w:val="DefaultParagraphFont"/>
    <w:uiPriority w:val="99"/>
    <w:semiHidden/>
    <w:unhideWhenUsed/>
    <w:rsid w:val="00B16DE3"/>
    <w:rPr>
      <w:color w:val="605E5C"/>
      <w:shd w:val="clear" w:color="auto" w:fill="E1DFDD"/>
    </w:rPr>
  </w:style>
  <w:style w:type="paragraph" w:customStyle="1" w:styleId="Default">
    <w:name w:val="Default"/>
    <w:basedOn w:val="Normal"/>
    <w:rsid w:val="004D7EF8"/>
    <w:pPr>
      <w:autoSpaceDE w:val="0"/>
      <w:autoSpaceDN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9136CB"/>
    <w:rPr>
      <w:b/>
      <w:bCs/>
    </w:rPr>
  </w:style>
  <w:style w:type="character" w:customStyle="1" w:styleId="CommentSubjectChar">
    <w:name w:val="Comment Subject Char"/>
    <w:basedOn w:val="CommentTextChar"/>
    <w:link w:val="CommentSubject"/>
    <w:uiPriority w:val="99"/>
    <w:semiHidden/>
    <w:rsid w:val="00913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338343">
      <w:bodyDiv w:val="1"/>
      <w:marLeft w:val="0"/>
      <w:marRight w:val="0"/>
      <w:marTop w:val="0"/>
      <w:marBottom w:val="0"/>
      <w:divBdr>
        <w:top w:val="none" w:sz="0" w:space="0" w:color="auto"/>
        <w:left w:val="none" w:sz="0" w:space="0" w:color="auto"/>
        <w:bottom w:val="none" w:sz="0" w:space="0" w:color="auto"/>
        <w:right w:val="none" w:sz="0" w:space="0" w:color="auto"/>
      </w:divBdr>
    </w:div>
    <w:div w:id="470562654">
      <w:bodyDiv w:val="1"/>
      <w:marLeft w:val="0"/>
      <w:marRight w:val="0"/>
      <w:marTop w:val="0"/>
      <w:marBottom w:val="0"/>
      <w:divBdr>
        <w:top w:val="none" w:sz="0" w:space="0" w:color="auto"/>
        <w:left w:val="none" w:sz="0" w:space="0" w:color="auto"/>
        <w:bottom w:val="none" w:sz="0" w:space="0" w:color="auto"/>
        <w:right w:val="none" w:sz="0" w:space="0" w:color="auto"/>
      </w:divBdr>
    </w:div>
    <w:div w:id="1336033412">
      <w:bodyDiv w:val="1"/>
      <w:marLeft w:val="0"/>
      <w:marRight w:val="0"/>
      <w:marTop w:val="0"/>
      <w:marBottom w:val="0"/>
      <w:divBdr>
        <w:top w:val="none" w:sz="0" w:space="0" w:color="auto"/>
        <w:left w:val="none" w:sz="0" w:space="0" w:color="auto"/>
        <w:bottom w:val="none" w:sz="0" w:space="0" w:color="auto"/>
        <w:right w:val="none" w:sz="0" w:space="0" w:color="auto"/>
      </w:divBdr>
    </w:div>
    <w:div w:id="1364865630">
      <w:bodyDiv w:val="1"/>
      <w:marLeft w:val="0"/>
      <w:marRight w:val="0"/>
      <w:marTop w:val="0"/>
      <w:marBottom w:val="0"/>
      <w:divBdr>
        <w:top w:val="none" w:sz="0" w:space="0" w:color="auto"/>
        <w:left w:val="none" w:sz="0" w:space="0" w:color="auto"/>
        <w:bottom w:val="none" w:sz="0" w:space="0" w:color="auto"/>
        <w:right w:val="none" w:sz="0" w:space="0" w:color="auto"/>
      </w:divBdr>
    </w:div>
    <w:div w:id="1392775569">
      <w:bodyDiv w:val="1"/>
      <w:marLeft w:val="0"/>
      <w:marRight w:val="0"/>
      <w:marTop w:val="0"/>
      <w:marBottom w:val="0"/>
      <w:divBdr>
        <w:top w:val="none" w:sz="0" w:space="0" w:color="auto"/>
        <w:left w:val="none" w:sz="0" w:space="0" w:color="auto"/>
        <w:bottom w:val="none" w:sz="0" w:space="0" w:color="auto"/>
        <w:right w:val="none" w:sz="0" w:space="0" w:color="auto"/>
      </w:divBdr>
      <w:divsChild>
        <w:div w:id="45035262">
          <w:marLeft w:val="806"/>
          <w:marRight w:val="0"/>
          <w:marTop w:val="200"/>
          <w:marBottom w:val="0"/>
          <w:divBdr>
            <w:top w:val="none" w:sz="0" w:space="0" w:color="auto"/>
            <w:left w:val="none" w:sz="0" w:space="0" w:color="auto"/>
            <w:bottom w:val="none" w:sz="0" w:space="0" w:color="auto"/>
            <w:right w:val="none" w:sz="0" w:space="0" w:color="auto"/>
          </w:divBdr>
        </w:div>
        <w:div w:id="513571065">
          <w:marLeft w:val="806"/>
          <w:marRight w:val="0"/>
          <w:marTop w:val="200"/>
          <w:marBottom w:val="0"/>
          <w:divBdr>
            <w:top w:val="none" w:sz="0" w:space="0" w:color="auto"/>
            <w:left w:val="none" w:sz="0" w:space="0" w:color="auto"/>
            <w:bottom w:val="none" w:sz="0" w:space="0" w:color="auto"/>
            <w:right w:val="none" w:sz="0" w:space="0" w:color="auto"/>
          </w:divBdr>
        </w:div>
        <w:div w:id="677775225">
          <w:marLeft w:val="806"/>
          <w:marRight w:val="0"/>
          <w:marTop w:val="200"/>
          <w:marBottom w:val="0"/>
          <w:divBdr>
            <w:top w:val="none" w:sz="0" w:space="0" w:color="auto"/>
            <w:left w:val="none" w:sz="0" w:space="0" w:color="auto"/>
            <w:bottom w:val="none" w:sz="0" w:space="0" w:color="auto"/>
            <w:right w:val="none" w:sz="0" w:space="0" w:color="auto"/>
          </w:divBdr>
        </w:div>
        <w:div w:id="810512725">
          <w:marLeft w:val="806"/>
          <w:marRight w:val="0"/>
          <w:marTop w:val="200"/>
          <w:marBottom w:val="0"/>
          <w:divBdr>
            <w:top w:val="none" w:sz="0" w:space="0" w:color="auto"/>
            <w:left w:val="none" w:sz="0" w:space="0" w:color="auto"/>
            <w:bottom w:val="none" w:sz="0" w:space="0" w:color="auto"/>
            <w:right w:val="none" w:sz="0" w:space="0" w:color="auto"/>
          </w:divBdr>
        </w:div>
        <w:div w:id="924731264">
          <w:marLeft w:val="806"/>
          <w:marRight w:val="0"/>
          <w:marTop w:val="200"/>
          <w:marBottom w:val="0"/>
          <w:divBdr>
            <w:top w:val="none" w:sz="0" w:space="0" w:color="auto"/>
            <w:left w:val="none" w:sz="0" w:space="0" w:color="auto"/>
            <w:bottom w:val="none" w:sz="0" w:space="0" w:color="auto"/>
            <w:right w:val="none" w:sz="0" w:space="0" w:color="auto"/>
          </w:divBdr>
        </w:div>
        <w:div w:id="1878854215">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apeakebay.net/channel_files/24880/landowner_survey_preliminary_result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hesapeakebay.net/documents/Riparian_BMP_Panel_Report_FINAL_October_2014.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E566B-B8BE-4D5F-AF70-4723039A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Forest Service</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Claggett, Sally -FS</dc:creator>
  <cp:keywords/>
  <dc:description/>
  <cp:lastModifiedBy>Claggett, Sally -FS</cp:lastModifiedBy>
  <cp:revision>2</cp:revision>
  <dcterms:created xsi:type="dcterms:W3CDTF">2021-04-07T12:57:00Z</dcterms:created>
  <dcterms:modified xsi:type="dcterms:W3CDTF">2021-04-07T12:57:00Z</dcterms:modified>
</cp:coreProperties>
</file>