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229F4" w14:textId="77777777" w:rsidR="007339BE" w:rsidRDefault="00D01311" w:rsidP="002B149D">
      <w:r>
        <w:rPr>
          <w:noProof/>
        </w:rPr>
        <w:drawing>
          <wp:anchor distT="0" distB="0" distL="114300" distR="114300" simplePos="0" relativeHeight="251723776" behindDoc="1" locked="0" layoutInCell="1" allowOverlap="1" wp14:anchorId="18D1C230" wp14:editId="42135C71">
            <wp:simplePos x="0" y="0"/>
            <wp:positionH relativeFrom="page">
              <wp:posOffset>-5959297</wp:posOffset>
            </wp:positionH>
            <wp:positionV relativeFrom="paragraph">
              <wp:posOffset>-914400</wp:posOffset>
            </wp:positionV>
            <wp:extent cx="17568929" cy="1424763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lue bann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8929" cy="1424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BCE2CF2" wp14:editId="2F9F2E36">
                <wp:simplePos x="0" y="0"/>
                <wp:positionH relativeFrom="margin">
                  <wp:posOffset>1246683</wp:posOffset>
                </wp:positionH>
                <wp:positionV relativeFrom="paragraph">
                  <wp:posOffset>-307543</wp:posOffset>
                </wp:positionV>
                <wp:extent cx="4448810" cy="651052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810" cy="651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AC2A" w14:textId="77777777" w:rsidR="001C2271" w:rsidRPr="00C3605B" w:rsidRDefault="001C2271" w:rsidP="001C2271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3605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Principles </w:t>
                            </w:r>
                            <w:r w:rsidR="00844B2C" w:rsidRPr="00C3605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for</w:t>
                            </w:r>
                            <w:r w:rsidRPr="00C3605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01311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Phase III Watershed Implementation Plans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CE2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15pt;margin-top:-24.2pt;width:350.3pt;height:51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gaCQIAAPIDAAAOAAAAZHJzL2Uyb0RvYy54bWysU9Fu2yAUfZ+0f0C8L7YjJ0utkKpr12lS&#10;101q9wEE4xgNuAxI7Ozrd8FpGm1v0/xgAffewznnXtbXo9HkIH1QYBmtZiUl0gpold0x+v35/t2K&#10;khC5bbkGKxk9ykCvN2/frAfXyDn0oFvpCYLY0AyO0T5G1xRFEL00PMzASYvBDrzhEbd+V7SeD4hu&#10;dDEvy2UxgG+dByFDwNO7KUg3Gb/rpIhfuy7ISDSjyC3mv8//bfoXmzVvdp67XokTDf4PLAxXFi89&#10;Q93xyMneq7+gjBIeAnRxJsAU0HVKyKwB1VTlH2qeeu5k1oLmBHe2Kfw/WPF4+OaJahldUmK5wRY9&#10;yzGSDzCSeXJncKHBpCeHaXHEY+xyVhrcA4gfgVi47bndyRvvYeglb5FdlSqLi9IJJySQ7fAFWryG&#10;7yNkoLHzJlmHZhBExy4dz51JVAQe1nW9WlUYEhhbLqpykckVvHmpdj7ETxIMSQtGPXY+o/PDQ4iJ&#10;DW9eUtJlFu6V1rn72pKB0avFfJELLiJGRRxOrQyjqzJ907gkkR9tm4sjV3pa4wXanlQnoZPkOG5H&#10;TExWbKE9on4P0xDio8FFD/4XJQMOIKPh5557SYn+bNHDq6qu08TmTb14P8eNv4xsLyPcCoRiNFIy&#10;LW9jnvJJ6w163alswyuTE1ccrOzO6RGkyb3c56zXp7r5DQAA//8DAFBLAwQUAAYACAAAACEANaJ6&#10;5N8AAAAKAQAADwAAAGRycy9kb3ducmV2LnhtbEyPy07DMBBF90j8gzVI7Fq7kEZJGqdCILYgykPq&#10;zo2nSUQ8jmK3CX/PsKLLqzm690y5nV0vzjiGzpOG1VKBQKq97ajR8PH+vMhAhGjImt4TavjBANvq&#10;+qo0hfUTveF5FxvBJRQKo6GNcSikDHWLzoSlH5D4dvSjM5Hj2Eg7monLXS/vlEqlMx3xQmsGfGyx&#10;/t6dnIbPl+P+K1GvzZNbD5OflSSXS61vb+aHDYiIc/yH4U+f1aFip4M/kQ2i55yn94xqWCRZAoKJ&#10;LE9zEAcN62QFsirl5QvVLwAAAP//AwBQSwECLQAUAAYACAAAACEAtoM4kv4AAADhAQAAEwAAAAAA&#10;AAAAAAAAAAAAAAAAW0NvbnRlbnRfVHlwZXNdLnhtbFBLAQItABQABgAIAAAAIQA4/SH/1gAAAJQB&#10;AAALAAAAAAAAAAAAAAAAAC8BAABfcmVscy8ucmVsc1BLAQItABQABgAIAAAAIQAcjDgaCQIAAPID&#10;AAAOAAAAAAAAAAAAAAAAAC4CAABkcnMvZTJvRG9jLnhtbFBLAQItABQABgAIAAAAIQA1onrk3wAA&#10;AAoBAAAPAAAAAAAAAAAAAAAAAGMEAABkcnMvZG93bnJldi54bWxQSwUGAAAAAAQABADzAAAAbwUA&#10;AAAA&#10;" filled="f" stroked="f">
                <v:textbox>
                  <w:txbxContent>
                    <w:p w14:paraId="24E1AC2A" w14:textId="77777777" w:rsidR="001C2271" w:rsidRPr="00C3605B" w:rsidRDefault="001C2271" w:rsidP="001C2271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C3605B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Principles </w:t>
                      </w:r>
                      <w:r w:rsidR="00844B2C" w:rsidRPr="00C3605B">
                        <w:rPr>
                          <w:color w:val="FFFFFF" w:themeColor="background1"/>
                          <w:sz w:val="36"/>
                          <w:szCs w:val="36"/>
                        </w:rPr>
                        <w:t>for</w:t>
                      </w:r>
                      <w:r w:rsidRPr="00C3605B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D01311">
                        <w:rPr>
                          <w:color w:val="FFFFFF" w:themeColor="background1"/>
                          <w:sz w:val="36"/>
                          <w:szCs w:val="36"/>
                        </w:rPr>
                        <w:t>Phase III Watershed Implementation Plans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BC8F7C" wp14:editId="44D92E8F">
                <wp:simplePos x="0" y="0"/>
                <wp:positionH relativeFrom="margin">
                  <wp:posOffset>1247242</wp:posOffset>
                </wp:positionH>
                <wp:positionV relativeFrom="paragraph">
                  <wp:posOffset>-731520</wp:posOffset>
                </wp:positionV>
                <wp:extent cx="4448810" cy="1075334"/>
                <wp:effectExtent l="0" t="0" r="889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810" cy="10753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642E17" id="Rectangle 15" o:spid="_x0000_s1026" style="position:absolute;margin-left:98.2pt;margin-top:-57.6pt;width:350.3pt;height:84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MUoQIAAKsFAAAOAAAAZHJzL2Uyb0RvYy54bWysVE1v2zAMvQ/YfxB0X+2kTtsFdYqgRYcB&#10;3Vq0HXpWZCk2IImapMTJfv0oyXE/Vuww7GKLFPlIPpE8v9hpRbbC+Q5MTSdHJSXCcGg6s67pj8fr&#10;T2eU+MBMwxQYUdO98PRi8fHDeW/nYgotqEY4giDGz3tb0zYEOy8Kz1uhmT8CKwxeSnCaBRTdumgc&#10;6xFdq2JalidFD66xDrjwHrVX+ZIuEr6UgodbKb0IRNUUcwvp69J3Fb/F4pzN147ZtuNDGuwfstCs&#10;Mxh0hLpigZGN6/6A0h134EGGIw66ACk7LlINWM2kfFPNQ8usSLUgOd6ONPn/B8u/b+8c6Rp8uxkl&#10;hml8o3tkjZm1EgR1SFBv/RztHuydGySPx1jtTjod/1gH2SVS9yOpYhcIR2VVVWdnE+Se492kPJ0d&#10;H1cRtXh2t86HLwI0iYeaOoyfyGTbGx+y6cEkRvOguua6UyoJsVPEpXJky/CNV+tJclUb/Q2arDuZ&#10;lWV6aQyZGiuapwReISkT8QxE5Bw0aopYfa43ncJeiWinzL2QSBxWOE0RR+QclHEuTMjJ+JY1Iqtj&#10;Ku/nkgAjssT4I/YA8LrIA3bOcrCPriJ1/Ohc/i2x7Dx6pMhgwuisOwPuPQCFVQ2Rs/2BpExNZGkF&#10;zR7bykGeN2/5dYdPe8N8uGMOBwzbAZdGuMWPVNDXFIYTJS24X+/poz32Pd5S0uPA1tT/3DAnKFFf&#10;DU7E50lVxQlPQjU7naLgXt6sXt6Yjb4E7JcJrifL0zHaB3U4Sgf6CXfLMkbFK2Y4xq4pD+4gXIa8&#10;SHA7cbFcJjOcasvCjXmwPIJHVmPrPu6emLNDfwccje9wGG42f9Pm2TZ6GlhuAsguzcAzrwPfuBFS&#10;Ew/bK66cl3Kyet6xi98AAAD//wMAUEsDBBQABgAIAAAAIQDEunsL4QAAAAsBAAAPAAAAZHJzL2Rv&#10;d25yZXYueG1sTI9NT4NAEIbvJv6HzZh4axcI/QBZGmNC4k3FGq9bGAFlZwm7pbS/3vFUj2/myTvP&#10;m+1m04sJR9dZUhAuAxBIla07ahTs34vFFoTzmmrdW0IFZ3Swy29vMp3W9kRvOJW+EVxCLtUKWu+H&#10;VEpXtWi0W9oBiW9fdjTacxwbWY/6xOWml1EQrKXRHfGHVg/41GL1Ux6Ngrj4KJ7L8+V7nzTms7xs&#10;pih4fVHq/m5+fADhcfZXGP70WR1ydjrYI9VO9JyTdcyogkUYriIQjGyTDc87KFjFIcg8k/835L8A&#10;AAD//wMAUEsBAi0AFAAGAAgAAAAhALaDOJL+AAAA4QEAABMAAAAAAAAAAAAAAAAAAAAAAFtDb250&#10;ZW50X1R5cGVzXS54bWxQSwECLQAUAAYACAAAACEAOP0h/9YAAACUAQAACwAAAAAAAAAAAAAAAAAv&#10;AQAAX3JlbHMvLnJlbHNQSwECLQAUAAYACAAAACEAywMDFKECAACrBQAADgAAAAAAAAAAAAAAAAAu&#10;AgAAZHJzL2Uyb0RvYy54bWxQSwECLQAUAAYACAAAACEAxLp7C+EAAAALAQAADwAAAAAAAAAAAAAA&#10;AAD7BAAAZHJzL2Rvd25yZXYueG1sUEsFBgAAAAAEAAQA8wAAAAkGAAAAAA==&#10;" fillcolor="#a5a5a5 [2092]" stroked="f" strokeweight="1pt">
                <w10:wrap anchorx="margin"/>
              </v:rect>
            </w:pict>
          </mc:Fallback>
        </mc:AlternateContent>
      </w:r>
      <w:r w:rsidR="00A4468E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ADC0BB9" wp14:editId="46BAA800">
                <wp:simplePos x="0" y="0"/>
                <wp:positionH relativeFrom="margin">
                  <wp:posOffset>1247775</wp:posOffset>
                </wp:positionH>
                <wp:positionV relativeFrom="paragraph">
                  <wp:posOffset>-733425</wp:posOffset>
                </wp:positionV>
                <wp:extent cx="4448810" cy="54546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81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FC1C" w14:textId="77777777" w:rsidR="001C2271" w:rsidRPr="00C3605B" w:rsidRDefault="009C3F76" w:rsidP="00A4468E">
                            <w:pPr>
                              <w:jc w:val="center"/>
                              <w:rPr>
                                <w:rFonts w:ascii="DokChampa" w:hAnsi="DokChampa" w:cs="DokChampa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DokChampa" w:hAnsi="DokChampa" w:cs="DokChampa"/>
                                <w:sz w:val="48"/>
                                <w:szCs w:val="40"/>
                              </w:rPr>
                              <w:t>Forest Buffers</w:t>
                            </w:r>
                            <w:r w:rsidR="00A4468E">
                              <w:rPr>
                                <w:rFonts w:ascii="DokChampa" w:hAnsi="DokChampa" w:cs="DokChampa"/>
                                <w:sz w:val="48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C0BB9" id="_x0000_s1027" type="#_x0000_t202" style="position:absolute;margin-left:98.25pt;margin-top:-57.75pt;width:350.3pt;height:42.9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wsvDQIAAPsDAAAOAAAAZHJzL2Uyb0RvYy54bWysU21v2yAQ/j5p/wHxfXFs2W1qhVRdu06T&#10;uhep3Q8gGMdowDEgsbtfvwOnabR9m8YHxHHcc/c8d6yvJ6PJQfqgwDJaLpaUSCugU3bH6Pen+3cr&#10;SkLktuMarGT0WQZ6vXn7Zj26VlYwgO6kJwhiQzs6RocYXVsUQQzS8LAAJy06e/CGRzT9rug8HxHd&#10;6KJaLi+KEXznPAgZAt7ezU66yfh9L0X82vdBRqIZxdpi3n3et2kvNmve7jx3gxLHMvg/VGG4spj0&#10;BHXHIyd7r/6CMkp4CNDHhQBTQN8rITMHZFMu/2DzOHAnMxcUJ7iTTOH/wYovh2+eqI7RqrykxHKD&#10;TXqSUyTvYSJV0md0ocVnjw4fxgmvsc+Za3APIH4EYuF24HYnb7yHcZC8w/rKFFmchc44IYFsx8/Q&#10;YRq+j5CBpt6bJB7KQRAd+/R86k0qReBlXderVYkugb6mbuqLJqfg7Uu08yF+lGBIOjDqsfcZnR8e&#10;QkzV8PblSUpm4V5pnfuvLRkZvWqqJgeceYyKOJ5aGUZXy7TmgUkkP9guB0eu9HzGBNoeWSeiM+U4&#10;bacscJYkKbKF7hll8DBPI/4ePAzgf1Ey4iQyGn7uuZeU6E8Wpbwq6zqNbjbq5rJCw597tucebgVC&#10;MRopmY+3MY/7TPkGJe9VVuO1kmPJOGFZpONvSCN8budXr3928xsAAP//AwBQSwMEFAAGAAgAAAAh&#10;ANksr//fAAAADAEAAA8AAABkcnMvZG93bnJldi54bWxMj0FPwzAMhe9I/IfISNy2pBMta2k6IRBX&#10;EAMm7ZY1XlvROFWTreXfY07s5mc/PX+v3MyuF2ccQ+dJQ7JUIJBqbztqNHx+vCzWIEI0ZE3vCTX8&#10;YIBNdX1VmsL6id7xvI2N4BAKhdHQxjgUUoa6RWfC0g9IfDv60ZnIcmykHc3E4a6XK6Uy6UxH/KE1&#10;Az61WH9vT07D1+txv7tTb82zS4fJz0qSy6XWtzfz4wOIiHP8N8MfPqNDxUwHfyIbRM86z1K2algk&#10;ScoTW9b5fQLiwKtVnoGsSnlZovoFAAD//wMAUEsBAi0AFAAGAAgAAAAhALaDOJL+AAAA4QEAABMA&#10;AAAAAAAAAAAAAAAAAAAAAFtDb250ZW50X1R5cGVzXS54bWxQSwECLQAUAAYACAAAACEAOP0h/9YA&#10;AACUAQAACwAAAAAAAAAAAAAAAAAvAQAAX3JlbHMvLnJlbHNQSwECLQAUAAYACAAAACEA7fsLLw0C&#10;AAD7AwAADgAAAAAAAAAAAAAAAAAuAgAAZHJzL2Uyb0RvYy54bWxQSwECLQAUAAYACAAAACEA2Syv&#10;/98AAAAMAQAADwAAAAAAAAAAAAAAAABnBAAAZHJzL2Rvd25yZXYueG1sUEsFBgAAAAAEAAQA8wAA&#10;AHMFAAAAAA==&#10;" filled="f" stroked="f">
                <v:textbox>
                  <w:txbxContent>
                    <w:p w14:paraId="2C6FFC1C" w14:textId="77777777" w:rsidR="001C2271" w:rsidRPr="00C3605B" w:rsidRDefault="009C3F76" w:rsidP="00A4468E">
                      <w:pPr>
                        <w:jc w:val="center"/>
                        <w:rPr>
                          <w:rFonts w:ascii="DokChampa" w:hAnsi="DokChampa" w:cs="DokChampa"/>
                          <w:sz w:val="48"/>
                          <w:szCs w:val="40"/>
                        </w:rPr>
                      </w:pPr>
                      <w:r>
                        <w:rPr>
                          <w:rFonts w:ascii="DokChampa" w:hAnsi="DokChampa" w:cs="DokChampa"/>
                          <w:sz w:val="48"/>
                          <w:szCs w:val="40"/>
                        </w:rPr>
                        <w:t>Forest Buffers</w:t>
                      </w:r>
                      <w:r w:rsidR="00A4468E">
                        <w:rPr>
                          <w:rFonts w:ascii="DokChampa" w:hAnsi="DokChampa" w:cs="DokChampa"/>
                          <w:sz w:val="48"/>
                          <w:szCs w:val="4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60680E" w14:textId="77777777" w:rsidR="00A4468E" w:rsidRDefault="00A4468E" w:rsidP="00A4468E">
      <w:pPr>
        <w:spacing w:after="120"/>
        <w:rPr>
          <w:b/>
          <w:sz w:val="28"/>
          <w:szCs w:val="28"/>
        </w:rPr>
      </w:pPr>
    </w:p>
    <w:p w14:paraId="1184C904" w14:textId="77777777" w:rsidR="00A4468E" w:rsidRPr="009C3AD1" w:rsidRDefault="00A4468E" w:rsidP="00A4468E">
      <w:pPr>
        <w:spacing w:after="120"/>
        <w:rPr>
          <w:b/>
          <w:sz w:val="28"/>
          <w:szCs w:val="28"/>
        </w:rPr>
      </w:pPr>
      <w:r w:rsidRPr="009C3AD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CBE225" wp14:editId="05AF4644">
                <wp:simplePos x="0" y="0"/>
                <wp:positionH relativeFrom="column">
                  <wp:posOffset>-9525</wp:posOffset>
                </wp:positionH>
                <wp:positionV relativeFrom="paragraph">
                  <wp:posOffset>257810</wp:posOffset>
                </wp:positionV>
                <wp:extent cx="68865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5A3E01" id="Straight Connector 3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0.3pt" to="541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/18wEAAD8EAAAOAAAAZHJzL2Uyb0RvYy54bWysU02P2yAQvVfqf0DcGzvZJo2sOHvIanvp&#10;R9Rte2cxxEjAIGBj5993AMe73Z5a1Qfk+Xoz7zHsbkejyVn4oMC2dLmoKRGWQ6fsqaU/vt+/21IS&#10;IrMd02BFSy8i0Nv92ze7wTViBT3oTniCIDY0g2tpH6NrqirwXhgWFuCExaAEb1hE05+qzrMB0Y2u&#10;VnW9qQbwnfPARQjovStBus/4Ugoev0oZRCS6pThbzKfP52M6q/2ONSfPXK/4NAb7hykMUxabzlB3&#10;LDLy5NUfUEZxDwFkXHAwFUipuMgckM2yfsXmoWdOZC4oTnCzTOH/wfIv56MnqmvpDSWWGbyih+iZ&#10;OvWRHMBaFBA8uUk6DS40mH6wRz9ZwR19Ij1Kb4jUyv3EFcgyIDEyZpUvs8pijISjc7PdbtYf1pTw&#10;a6wqEAnK+RA/CjAk/bRUK5sEYA07fwoR22LqNSW5tSVDS1fr93Wd0wJo1d0rrVMwL5E4aE/ODK+f&#10;cS5s3OQ8/WQ+Q1f86xq/RBCx55JiPaNhTFt0JhEK7fwXL1qUOb4JiTIivSLADPSy93Lqoi1mpzKJ&#10;k86FE4O0+a+HvhZO+alU5OX+m+K5IncGG+dioyz4ot/v3eM4dy75VwUK7yTBI3SXvBBZGtzSrNz0&#10;otIzeGnn8ud3v/8FAAD//wMAUEsDBBQABgAIAAAAIQBxAhhb3QAAAAkBAAAPAAAAZHJzL2Rvd25y&#10;ZXYueG1sTI/BTsMwEETvSPyDtUjcWrsEqirEqaoCR4QaKlFu23iJI+J1iN02/D2uOMBxZ0azb4rl&#10;6DpxpCG0njXMpgoEce1Ny42G7evTZAEiRGSDnWfS8E0BluXlRYG58Sfe0LGKjUglHHLUYGPscylD&#10;bclhmPqeOHkffnAY0zk00gx4SuWukzdKzaXDltMHiz2tLdWf1cFpWPNq+/7wtsseX/g5ZoHs7qva&#10;aH19Na7uQUQa418YzvgJHcrEtPcHNkF0Giazu5TUcKvmIM6+WmRp3P5XkWUh/y8ofwAAAP//AwBQ&#10;SwECLQAUAAYACAAAACEAtoM4kv4AAADhAQAAEwAAAAAAAAAAAAAAAAAAAAAAW0NvbnRlbnRfVHlw&#10;ZXNdLnhtbFBLAQItABQABgAIAAAAIQA4/SH/1gAAAJQBAAALAAAAAAAAAAAAAAAAAC8BAABfcmVs&#10;cy8ucmVsc1BLAQItABQABgAIAAAAIQBXtu/18wEAAD8EAAAOAAAAAAAAAAAAAAAAAC4CAABkcnMv&#10;ZTJvRG9jLnhtbFBLAQItABQABgAIAAAAIQBxAhhb3QAAAAkBAAAPAAAAAAAAAAAAAAAAAE0EAABk&#10;cnMvZG93bnJldi54bWxQSwUGAAAAAAQABADzAAAAVwUAAAAA&#10;" strokecolor="#375623 [1609]" strokeweight="2pt">
                <v:stroke joinstyle="miter"/>
              </v:line>
            </w:pict>
          </mc:Fallback>
        </mc:AlternateContent>
      </w:r>
      <w:r w:rsidR="004B2AF3">
        <w:rPr>
          <w:b/>
          <w:noProof/>
          <w:sz w:val="28"/>
          <w:szCs w:val="28"/>
        </w:rPr>
        <w:t>Planting B</w:t>
      </w:r>
      <w:r w:rsidR="005511F0">
        <w:rPr>
          <w:b/>
          <w:noProof/>
          <w:sz w:val="28"/>
          <w:szCs w:val="28"/>
        </w:rPr>
        <w:t>uffers</w:t>
      </w:r>
      <w:r w:rsidRPr="009C3AD1">
        <w:rPr>
          <w:b/>
          <w:sz w:val="28"/>
          <w:szCs w:val="28"/>
        </w:rPr>
        <w:t xml:space="preserve"> for </w:t>
      </w:r>
      <w:r w:rsidR="00372147">
        <w:rPr>
          <w:b/>
          <w:sz w:val="28"/>
          <w:szCs w:val="28"/>
        </w:rPr>
        <w:t>Human H</w:t>
      </w:r>
      <w:r w:rsidR="00372147" w:rsidRPr="009C3AD1">
        <w:rPr>
          <w:b/>
          <w:sz w:val="28"/>
          <w:szCs w:val="28"/>
        </w:rPr>
        <w:t xml:space="preserve">ealth, </w:t>
      </w:r>
      <w:r w:rsidR="004B2AF3">
        <w:rPr>
          <w:b/>
          <w:sz w:val="28"/>
          <w:szCs w:val="28"/>
        </w:rPr>
        <w:t>Economic D</w:t>
      </w:r>
      <w:r w:rsidRPr="009C3AD1">
        <w:rPr>
          <w:b/>
          <w:sz w:val="28"/>
          <w:szCs w:val="28"/>
        </w:rPr>
        <w:t xml:space="preserve">evelopment, </w:t>
      </w:r>
      <w:r w:rsidR="004B2AF3">
        <w:rPr>
          <w:b/>
          <w:sz w:val="28"/>
          <w:szCs w:val="28"/>
        </w:rPr>
        <w:t>and I</w:t>
      </w:r>
      <w:r w:rsidRPr="009C3AD1">
        <w:rPr>
          <w:b/>
          <w:sz w:val="28"/>
          <w:szCs w:val="28"/>
        </w:rPr>
        <w:t>nfrastructure</w:t>
      </w:r>
    </w:p>
    <w:p w14:paraId="2E204F75" w14:textId="77777777" w:rsidR="009C3F76" w:rsidRPr="00372147" w:rsidRDefault="007D45E4" w:rsidP="00CB23B5">
      <w:pPr>
        <w:spacing w:after="120"/>
        <w:rPr>
          <w:rFonts w:eastAsia="Times New Roman" w:cs="Times New Roman"/>
        </w:rPr>
      </w:pPr>
      <w:r>
        <w:t>Rest</w:t>
      </w:r>
      <w:r w:rsidR="004B2AF3">
        <w:t>oring riparian forest buffers are</w:t>
      </w:r>
      <w:r>
        <w:t xml:space="preserve"> </w:t>
      </w:r>
      <w:r w:rsidR="00B3611D">
        <w:t xml:space="preserve">paramount to </w:t>
      </w:r>
      <w:r>
        <w:t>healthy watershed</w:t>
      </w:r>
      <w:r w:rsidR="00B3611D">
        <w:t>s</w:t>
      </w:r>
      <w:r w:rsidR="00372147">
        <w:t xml:space="preserve"> due to their</w:t>
      </w:r>
      <w:r w:rsidR="00E41F55">
        <w:t xml:space="preserve"> effective</w:t>
      </w:r>
      <w:r w:rsidR="00372147">
        <w:t>ness</w:t>
      </w:r>
      <w:r w:rsidR="00E41F55">
        <w:t xml:space="preserve"> at cleaning water</w:t>
      </w:r>
      <w:r w:rsidR="00372147">
        <w:t>. Buffers</w:t>
      </w:r>
      <w:r w:rsidRPr="007D45E4">
        <w:t xml:space="preserve"> reduce </w:t>
      </w:r>
      <w:r w:rsidRPr="007D45E4">
        <w:rPr>
          <w:rFonts w:eastAsia="Times New Roman" w:cs="Times New Roman"/>
          <w:color w:val="000000"/>
        </w:rPr>
        <w:t xml:space="preserve">bacteria, </w:t>
      </w:r>
      <w:r w:rsidRPr="007D45E4">
        <w:rPr>
          <w:rFonts w:eastAsia="Times New Roman" w:cs="Times New Roman"/>
        </w:rPr>
        <w:t xml:space="preserve">microorganisms, </w:t>
      </w:r>
      <w:r w:rsidR="00E41F55">
        <w:rPr>
          <w:rFonts w:eastAsia="Times New Roman" w:cs="Times New Roman"/>
        </w:rPr>
        <w:t>micro</w:t>
      </w:r>
      <w:r w:rsidR="005975D4" w:rsidRPr="007D45E4">
        <w:rPr>
          <w:rFonts w:eastAsia="Times New Roman" w:cs="Times New Roman"/>
        </w:rPr>
        <w:t>plastic</w:t>
      </w:r>
      <w:r w:rsidRPr="007D45E4">
        <w:rPr>
          <w:rFonts w:eastAsia="Times New Roman" w:cs="Times New Roman"/>
        </w:rPr>
        <w:t xml:space="preserve"> fiber</w:t>
      </w:r>
      <w:r w:rsidR="003B3181">
        <w:rPr>
          <w:rFonts w:eastAsia="Times New Roman" w:cs="Times New Roman"/>
        </w:rPr>
        <w:t xml:space="preserve">s, harmful algal blooms, and </w:t>
      </w:r>
      <w:r w:rsidR="00AF7ABB">
        <w:rPr>
          <w:rFonts w:eastAsia="Times New Roman" w:cs="Times New Roman"/>
        </w:rPr>
        <w:t>many</w:t>
      </w:r>
      <w:r w:rsidRPr="007D45E4">
        <w:rPr>
          <w:rFonts w:eastAsia="Times New Roman" w:cs="Times New Roman"/>
        </w:rPr>
        <w:t xml:space="preserve"> emerging contaminants that are found in surface waters.</w:t>
      </w:r>
      <w:r w:rsidR="00B3611D">
        <w:rPr>
          <w:rFonts w:eastAsia="Times New Roman" w:cs="Times New Roman"/>
        </w:rPr>
        <w:t xml:space="preserve"> </w:t>
      </w:r>
      <w:r w:rsidR="00372147">
        <w:rPr>
          <w:rFonts w:eastAsia="Times New Roman" w:cs="Times New Roman"/>
        </w:rPr>
        <w:t>They</w:t>
      </w:r>
      <w:r>
        <w:rPr>
          <w:rFonts w:eastAsia="Times New Roman" w:cs="Times New Roman"/>
        </w:rPr>
        <w:t xml:space="preserve"> also keep stream temperatures down</w:t>
      </w:r>
      <w:r w:rsidR="0034277F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which can reduce the </w:t>
      </w:r>
      <w:r w:rsidR="005975D4">
        <w:rPr>
          <w:rFonts w:eastAsia="Times New Roman" w:cs="Times New Roman"/>
        </w:rPr>
        <w:t>occurrence</w:t>
      </w:r>
      <w:r>
        <w:rPr>
          <w:rFonts w:eastAsia="Times New Roman" w:cs="Times New Roman"/>
        </w:rPr>
        <w:t xml:space="preserve"> of algal blooms and bacteria, making the water in our streams more swimmable and drinkable.</w:t>
      </w:r>
      <w:r w:rsidR="00B3611D">
        <w:rPr>
          <w:rFonts w:eastAsia="Times New Roman" w:cs="Times New Roman"/>
        </w:rPr>
        <w:t xml:space="preserve"> </w:t>
      </w:r>
      <w:r w:rsidR="00372147">
        <w:rPr>
          <w:rFonts w:eastAsia="Times New Roman" w:cs="Times New Roman"/>
        </w:rPr>
        <w:t>H</w:t>
      </w:r>
      <w:r w:rsidR="0055745D">
        <w:rPr>
          <w:rFonts w:eastAsia="Times New Roman" w:cs="Times New Roman"/>
        </w:rPr>
        <w:t>erd</w:t>
      </w:r>
      <w:r w:rsidR="00C56124">
        <w:rPr>
          <w:rFonts w:eastAsia="Times New Roman" w:cs="Times New Roman"/>
        </w:rPr>
        <w:t xml:space="preserve"> health</w:t>
      </w:r>
      <w:r w:rsidR="00372147">
        <w:rPr>
          <w:rFonts w:eastAsia="Times New Roman" w:cs="Times New Roman"/>
        </w:rPr>
        <w:t xml:space="preserve"> also directly</w:t>
      </w:r>
      <w:r w:rsidR="00C56124">
        <w:rPr>
          <w:rFonts w:eastAsia="Times New Roman" w:cs="Times New Roman"/>
        </w:rPr>
        <w:t xml:space="preserve"> </w:t>
      </w:r>
      <w:r w:rsidR="006C175C">
        <w:rPr>
          <w:rFonts w:eastAsia="Times New Roman" w:cs="Times New Roman"/>
        </w:rPr>
        <w:t>improves</w:t>
      </w:r>
      <w:r w:rsidR="0055745D">
        <w:rPr>
          <w:rFonts w:eastAsia="Times New Roman" w:cs="Times New Roman"/>
        </w:rPr>
        <w:t xml:space="preserve"> once cows </w:t>
      </w:r>
      <w:r w:rsidR="006C175C">
        <w:rPr>
          <w:rFonts w:eastAsia="Times New Roman" w:cs="Times New Roman"/>
        </w:rPr>
        <w:t>are</w:t>
      </w:r>
      <w:r w:rsidR="0055745D">
        <w:rPr>
          <w:rFonts w:eastAsia="Times New Roman" w:cs="Times New Roman"/>
        </w:rPr>
        <w:t xml:space="preserve"> fenced out of</w:t>
      </w:r>
      <w:r w:rsidR="00372147">
        <w:rPr>
          <w:rFonts w:eastAsia="Times New Roman" w:cs="Times New Roman"/>
        </w:rPr>
        <w:t xml:space="preserve"> a</w:t>
      </w:r>
      <w:r w:rsidR="0055745D">
        <w:rPr>
          <w:rFonts w:eastAsia="Times New Roman" w:cs="Times New Roman"/>
        </w:rPr>
        <w:t xml:space="preserve"> stream</w:t>
      </w:r>
      <w:r w:rsidR="00372147">
        <w:rPr>
          <w:rFonts w:eastAsia="Times New Roman" w:cs="Times New Roman"/>
        </w:rPr>
        <w:t xml:space="preserve"> and a forest</w:t>
      </w:r>
      <w:r w:rsidR="0055745D">
        <w:rPr>
          <w:rFonts w:eastAsia="Times New Roman" w:cs="Times New Roman"/>
        </w:rPr>
        <w:t xml:space="preserve"> buffer </w:t>
      </w:r>
      <w:r w:rsidR="00372147">
        <w:rPr>
          <w:rFonts w:eastAsia="Times New Roman" w:cs="Times New Roman"/>
        </w:rPr>
        <w:t xml:space="preserve">is </w:t>
      </w:r>
      <w:r w:rsidR="0055745D">
        <w:rPr>
          <w:rFonts w:eastAsia="Times New Roman" w:cs="Times New Roman"/>
        </w:rPr>
        <w:t>establish</w:t>
      </w:r>
      <w:r w:rsidR="00372147">
        <w:rPr>
          <w:rFonts w:eastAsia="Times New Roman" w:cs="Times New Roman"/>
        </w:rPr>
        <w:t>ed</w:t>
      </w:r>
      <w:r w:rsidR="0055745D">
        <w:rPr>
          <w:rFonts w:eastAsia="Times New Roman" w:cs="Times New Roman"/>
        </w:rPr>
        <w:t>.</w:t>
      </w:r>
    </w:p>
    <w:p w14:paraId="28950D67" w14:textId="48E4888F" w:rsidR="00372147" w:rsidRDefault="00372147" w:rsidP="00C56124">
      <w:pPr>
        <w:spacing w:after="120"/>
        <w:jc w:val="both"/>
      </w:pPr>
      <w:r>
        <w:t xml:space="preserve">Riparian forest buffers are also a cost-effective water quality practice. Every dollar spent on forest buffers reduces the need for </w:t>
      </w:r>
      <w:r w:rsidR="005E684C">
        <w:t>costlier</w:t>
      </w:r>
      <w:r w:rsidRPr="007D45E4">
        <w:t xml:space="preserve"> urban practices and less effective ag</w:t>
      </w:r>
      <w:r>
        <w:t xml:space="preserve">ricultural practices. </w:t>
      </w:r>
      <w:r w:rsidRPr="007D45E4">
        <w:t>Funding is available to re</w:t>
      </w:r>
      <w:r>
        <w:t xml:space="preserve">store riparian forest buffers. </w:t>
      </w:r>
      <w:r w:rsidRPr="007D45E4">
        <w:t>Through the fede</w:t>
      </w:r>
      <w:r>
        <w:t xml:space="preserve">ral and </w:t>
      </w:r>
      <w:r w:rsidRPr="007D45E4">
        <w:t xml:space="preserve">state </w:t>
      </w:r>
      <w:hyperlink r:id="rId9" w:history="1">
        <w:r w:rsidRPr="00E41F55">
          <w:rPr>
            <w:rStyle w:val="Hyperlink"/>
          </w:rPr>
          <w:t>Conservation Reserve Program</w:t>
        </w:r>
      </w:hyperlink>
      <w:r w:rsidR="009E33F8">
        <w:t xml:space="preserve"> </w:t>
      </w:r>
      <w:r w:rsidRPr="007D45E4">
        <w:t>almost all costs</w:t>
      </w:r>
      <w:r>
        <w:t xml:space="preserve"> for this practice can be met. </w:t>
      </w:r>
    </w:p>
    <w:p w14:paraId="792FF059" w14:textId="77777777" w:rsidR="00C56124" w:rsidRPr="00D73998" w:rsidRDefault="00372147" w:rsidP="00C56124">
      <w:pPr>
        <w:spacing w:after="120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Stream and buffer restoration offers great opportunities for economic revitalization. </w:t>
      </w:r>
      <w:r w:rsidR="00C56124">
        <w:rPr>
          <w:lang w:val="en"/>
        </w:rPr>
        <w:t>Buffers help municipalities by treating</w:t>
      </w:r>
      <w:r w:rsidR="00C56124" w:rsidRPr="00D73998">
        <w:rPr>
          <w:lang w:val="en"/>
        </w:rPr>
        <w:t xml:space="preserve"> stormwater</w:t>
      </w:r>
      <w:r>
        <w:rPr>
          <w:lang w:val="en"/>
        </w:rPr>
        <w:t>,</w:t>
      </w:r>
      <w:r w:rsidR="00C56124" w:rsidRPr="00D73998">
        <w:rPr>
          <w:lang w:val="en"/>
        </w:rPr>
        <w:t xml:space="preserve"> </w:t>
      </w:r>
      <w:r w:rsidR="00C56124">
        <w:rPr>
          <w:lang w:val="en"/>
        </w:rPr>
        <w:t xml:space="preserve">dissipating </w:t>
      </w:r>
      <w:r w:rsidR="00C56124" w:rsidRPr="00D73998">
        <w:rPr>
          <w:lang w:val="en"/>
        </w:rPr>
        <w:t xml:space="preserve">flood </w:t>
      </w:r>
      <w:r w:rsidR="00C56124">
        <w:rPr>
          <w:lang w:val="en"/>
        </w:rPr>
        <w:t>energy</w:t>
      </w:r>
      <w:r>
        <w:rPr>
          <w:lang w:val="en"/>
        </w:rPr>
        <w:t>,</w:t>
      </w:r>
      <w:r w:rsidR="00C56124">
        <w:rPr>
          <w:lang w:val="en"/>
        </w:rPr>
        <w:t xml:space="preserve"> and </w:t>
      </w:r>
      <w:r>
        <w:rPr>
          <w:lang w:val="en"/>
        </w:rPr>
        <w:t xml:space="preserve">reducing </w:t>
      </w:r>
      <w:r w:rsidR="00C56124">
        <w:rPr>
          <w:lang w:val="en"/>
        </w:rPr>
        <w:t>erosion potential of st</w:t>
      </w:r>
      <w:r w:rsidR="00B3611D">
        <w:rPr>
          <w:lang w:val="en"/>
        </w:rPr>
        <w:t xml:space="preserve">reams, rivers, and tides. </w:t>
      </w:r>
      <w:r w:rsidR="00C56124">
        <w:rPr>
          <w:lang w:val="en"/>
        </w:rPr>
        <w:t>Floodplain buffers are particularly impor</w:t>
      </w:r>
      <w:r w:rsidR="00B3611D">
        <w:rPr>
          <w:lang w:val="en"/>
        </w:rPr>
        <w:t xml:space="preserve">tant for treating flood water. </w:t>
      </w:r>
      <w:r w:rsidR="00C56124">
        <w:rPr>
          <w:lang w:val="en"/>
        </w:rPr>
        <w:t xml:space="preserve">Buffers </w:t>
      </w:r>
      <w:r>
        <w:rPr>
          <w:lang w:val="en"/>
        </w:rPr>
        <w:t xml:space="preserve">also </w:t>
      </w:r>
      <w:r w:rsidR="00C56124">
        <w:rPr>
          <w:lang w:val="en"/>
        </w:rPr>
        <w:t>improve recreational services such as</w:t>
      </w:r>
      <w:r w:rsidR="00C56124" w:rsidRPr="00C56124">
        <w:rPr>
          <w:color w:val="212121"/>
          <w:shd w:val="clear" w:color="auto" w:fill="FFFFFF"/>
        </w:rPr>
        <w:t xml:space="preserve"> </w:t>
      </w:r>
      <w:r w:rsidR="00C56124" w:rsidRPr="00D73998">
        <w:rPr>
          <w:color w:val="212121"/>
          <w:shd w:val="clear" w:color="auto" w:fill="FFFFFF"/>
        </w:rPr>
        <w:t xml:space="preserve">fishing, boating, swimming, hiking, biking, </w:t>
      </w:r>
      <w:r w:rsidR="00C56124">
        <w:rPr>
          <w:color w:val="212121"/>
          <w:shd w:val="clear" w:color="auto" w:fill="FFFFFF"/>
        </w:rPr>
        <w:t xml:space="preserve">and </w:t>
      </w:r>
      <w:r w:rsidR="00C56124" w:rsidRPr="00D73998">
        <w:rPr>
          <w:color w:val="212121"/>
          <w:shd w:val="clear" w:color="auto" w:fill="FFFFFF"/>
        </w:rPr>
        <w:t>wildlife viewing</w:t>
      </w:r>
      <w:r w:rsidR="00B3611D">
        <w:rPr>
          <w:color w:val="212121"/>
          <w:shd w:val="clear" w:color="auto" w:fill="FFFFFF"/>
        </w:rPr>
        <w:t xml:space="preserve">. </w:t>
      </w:r>
      <w:r>
        <w:rPr>
          <w:color w:val="212121"/>
          <w:shd w:val="clear" w:color="auto" w:fill="FFFFFF"/>
        </w:rPr>
        <w:t>In addition, q</w:t>
      </w:r>
      <w:r w:rsidR="00E41F55">
        <w:rPr>
          <w:color w:val="212121"/>
          <w:shd w:val="clear" w:color="auto" w:fill="FFFFFF"/>
        </w:rPr>
        <w:t xml:space="preserve">uality of </w:t>
      </w:r>
      <w:r w:rsidR="00C56124">
        <w:rPr>
          <w:color w:val="212121"/>
          <w:shd w:val="clear" w:color="auto" w:fill="FFFFFF"/>
        </w:rPr>
        <w:t xml:space="preserve">life is </w:t>
      </w:r>
      <w:r w:rsidR="00B3611D">
        <w:rPr>
          <w:color w:val="212121"/>
          <w:shd w:val="clear" w:color="auto" w:fill="FFFFFF"/>
        </w:rPr>
        <w:t xml:space="preserve">perceived higher around trees. </w:t>
      </w:r>
    </w:p>
    <w:p w14:paraId="3F246E8F" w14:textId="77777777" w:rsidR="00B20FD4" w:rsidRPr="006C58C8" w:rsidRDefault="00B20FD4" w:rsidP="00CB23B5">
      <w:pPr>
        <w:spacing w:after="120"/>
      </w:pPr>
    </w:p>
    <w:p w14:paraId="73B230E6" w14:textId="77777777" w:rsidR="00A4468E" w:rsidRDefault="00A4468E" w:rsidP="00A4468E">
      <w:pPr>
        <w:spacing w:after="120"/>
        <w:rPr>
          <w:b/>
          <w:sz w:val="28"/>
        </w:rPr>
      </w:pPr>
      <w:r w:rsidRPr="009C3AD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274140" wp14:editId="6CFEF49A">
                <wp:simplePos x="0" y="0"/>
                <wp:positionH relativeFrom="column">
                  <wp:posOffset>-9525</wp:posOffset>
                </wp:positionH>
                <wp:positionV relativeFrom="paragraph">
                  <wp:posOffset>254000</wp:posOffset>
                </wp:positionV>
                <wp:extent cx="6953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244AA1" id="Straight Connector 4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0pt" to="546.7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ro8wEAAD8EAAAOAAAAZHJzL2Uyb0RvYy54bWysU02P2yAQvVfqf0DcGztpErVWnD1ktb30&#10;I+pue2cxxEjAIGBj5993AMe73Z5a1Qfk+Xoz7zHsbkajyVn4oMC2dLmoKRGWQ6fsqaU/Hu7efaAk&#10;RGY7psGKll5EoDf7t292g2vECnrQnfAEQWxoBtfSPkbXVFXgvTAsLMAJi0EJ3rCIpj9VnWcDohtd&#10;rep6Ww3gO+eBixDQe1uCdJ/xpRQ8fpMyiEh0S3G2mE+fz8d0Vvsda06euV7xaQz2D1MYpiw2naFu&#10;WWTkyas/oIziHgLIuOBgKpBScZE5IJtl/YrNfc+cyFxQnOBmmcL/g+Vfz0dPVNfSNSWWGbyi++iZ&#10;OvWRHMBaFBA8WSedBhcaTD/Yo5+s4I4+kR6lN0Rq5X7iCmQZkBgZs8qXWWUxRsLRuf24eb/a4GXw&#10;a6wqEAnK+RA/CTAk/bRUK5sEYA07fw4R22LqNSW5tSVDS1ebdV3ntABadXdK6xTMSyQO2pMzw+tn&#10;nAsbtzlPP5kv0BX/psYvEUTsuaRYz2gY0xadSYRCO//FixZlju9CooxIrwgwA73svZy6aIvZqUzi&#10;pHPhxCBt/uuhr4VTfioVebn/pniuyJ3BxrnYKAu+6Pd79zjOnUv+VYHCO0nwCN0lL0SWBrc0Kze9&#10;qPQMXtq5/Pnd738BAAD//wMAUEsDBBQABgAIAAAAIQCC3swe3AAAAAkBAAAPAAAAZHJzL2Rvd25y&#10;ZXYueG1sTI/BTsMwEETvSPyDtUjcWrsEEIQ4VVXgiFBDJcrNjZc4Il6H2G3D37MVh3LcmdHsm2I+&#10;+k7scYhtIA2zqQKBVAfbUqNh/fY8uQMRkyFrukCo4QcjzMvzs8LkNhxohfsqNYJLKOZGg0upz6WM&#10;tUNv4jT0SOx9hsGbxOfQSDuYA5f7Tl4pdSu9aYk/ONPj0mH9Ve28hiUt1h+P75vs6ZVeUhbRbb6r&#10;ldaXF+PiAUTCMZ3CcMRndCiZaRt2ZKPoNExmN5zUcK140tFX9xkr2z9FloX8v6D8BQAA//8DAFBL&#10;AQItABQABgAIAAAAIQC2gziS/gAAAOEBAAATAAAAAAAAAAAAAAAAAAAAAABbQ29udGVudF9UeXBl&#10;c10ueG1sUEsBAi0AFAAGAAgAAAAhADj9If/WAAAAlAEAAAsAAAAAAAAAAAAAAAAALwEAAF9yZWxz&#10;Ly5yZWxzUEsBAi0AFAAGAAgAAAAhAKYiWujzAQAAPwQAAA4AAAAAAAAAAAAAAAAALgIAAGRycy9l&#10;Mm9Eb2MueG1sUEsBAi0AFAAGAAgAAAAhAILezB7cAAAACQEAAA8AAAAAAAAAAAAAAAAATQQAAGRy&#10;cy9kb3ducmV2LnhtbFBLBQYAAAAABAAEAPMAAABWBQAAAAA=&#10;" strokecolor="#375623 [1609]" strokeweight="2pt">
                <v:stroke joinstyle="miter"/>
              </v:line>
            </w:pict>
          </mc:Fallback>
        </mc:AlternateContent>
      </w:r>
      <w:r w:rsidRPr="009C3AD1">
        <w:rPr>
          <w:b/>
          <w:sz w:val="28"/>
        </w:rPr>
        <w:t xml:space="preserve">Best Management Practices </w:t>
      </w:r>
      <w:r w:rsidR="00AF7ABB">
        <w:rPr>
          <w:b/>
          <w:sz w:val="28"/>
        </w:rPr>
        <w:t xml:space="preserve">(BMPs) </w:t>
      </w:r>
      <w:r w:rsidRPr="009C3AD1">
        <w:rPr>
          <w:b/>
          <w:sz w:val="28"/>
        </w:rPr>
        <w:t xml:space="preserve">with </w:t>
      </w:r>
      <w:r w:rsidR="00CB23B5">
        <w:rPr>
          <w:b/>
          <w:sz w:val="28"/>
        </w:rPr>
        <w:t xml:space="preserve">Forest Buffers </w:t>
      </w:r>
      <w:r w:rsidRPr="009C3AD1">
        <w:rPr>
          <w:b/>
          <w:sz w:val="28"/>
        </w:rPr>
        <w:t>in Mind</w:t>
      </w:r>
    </w:p>
    <w:p w14:paraId="160AD64D" w14:textId="2697E94D" w:rsidR="00234D86" w:rsidRPr="005E684C" w:rsidRDefault="005E684C" w:rsidP="00934F85">
      <w:pPr>
        <w:autoSpaceDE w:val="0"/>
        <w:autoSpaceDN w:val="0"/>
        <w:adjustRightInd w:val="0"/>
        <w:spacing w:after="120"/>
        <w:jc w:val="both"/>
      </w:pPr>
      <w:r w:rsidRPr="005E684C">
        <w:rPr>
          <w:rFonts w:cs="Verdana"/>
        </w:rPr>
        <w:t>Of the many best management practices (</w:t>
      </w:r>
      <w:r w:rsidR="00AF7ABB" w:rsidRPr="005E684C">
        <w:rPr>
          <w:rFonts w:cs="Verdana"/>
        </w:rPr>
        <w:t>BMP</w:t>
      </w:r>
      <w:r w:rsidRPr="005E684C">
        <w:rPr>
          <w:rFonts w:cs="Verdana"/>
        </w:rPr>
        <w:t>s) used</w:t>
      </w:r>
      <w:r w:rsidR="00AF7ABB" w:rsidRPr="005E684C">
        <w:rPr>
          <w:rFonts w:cs="Verdana"/>
        </w:rPr>
        <w:t xml:space="preserve"> </w:t>
      </w:r>
      <w:r w:rsidRPr="005E684C">
        <w:rPr>
          <w:rFonts w:cs="Verdana"/>
        </w:rPr>
        <w:t>to</w:t>
      </w:r>
      <w:r w:rsidR="00AF7ABB" w:rsidRPr="005E684C">
        <w:rPr>
          <w:rFonts w:cs="Verdana"/>
        </w:rPr>
        <w:t xml:space="preserve"> improving quality of Chesapeake Bay waterways</w:t>
      </w:r>
      <w:r w:rsidRPr="005E684C">
        <w:rPr>
          <w:rFonts w:cs="Verdana"/>
        </w:rPr>
        <w:t>, the restoration of forest buffers might be the most effective</w:t>
      </w:r>
      <w:r w:rsidR="00934F85" w:rsidRPr="005E684C">
        <w:rPr>
          <w:rFonts w:cs="Verdana"/>
        </w:rPr>
        <w:t xml:space="preserve">. Forest buffers provide critical barriers between polluting landscapes and receiving waterways, reducing the adverse effect of excessive nitrogen, phosphorus, and suspended sediment inputs using relatively little land. </w:t>
      </w:r>
      <w:r w:rsidR="00643AB4" w:rsidRPr="005E684C">
        <w:rPr>
          <w:rStyle w:val="A4"/>
          <w:color w:val="auto"/>
        </w:rPr>
        <w:t xml:space="preserve">In addition to their well-recognized role in improving water quality, riparian forests fulfill important habitat needs for a host of aquatic and terrestrial species. </w:t>
      </w:r>
      <w:r w:rsidR="00934F85" w:rsidRPr="005E684C">
        <w:t xml:space="preserve">See the table below for forest buffer BMPs </w:t>
      </w:r>
      <w:r w:rsidR="00234D86" w:rsidRPr="005E684C">
        <w:t>with other</w:t>
      </w:r>
      <w:r w:rsidR="00934F85" w:rsidRPr="005E684C">
        <w:t xml:space="preserve"> co-benefits*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1"/>
        <w:gridCol w:w="1175"/>
        <w:gridCol w:w="1175"/>
        <w:gridCol w:w="1175"/>
        <w:gridCol w:w="1175"/>
        <w:gridCol w:w="1175"/>
        <w:gridCol w:w="1193"/>
        <w:gridCol w:w="1171"/>
      </w:tblGrid>
      <w:tr w:rsidR="004A10BD" w:rsidRPr="00234D86" w14:paraId="09EF2D84" w14:textId="77777777" w:rsidTr="00D03849">
        <w:trPr>
          <w:trHeight w:val="333"/>
        </w:trPr>
        <w:tc>
          <w:tcPr>
            <w:tcW w:w="118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000000" w:fill="D9D9D9"/>
            <w:vAlign w:val="center"/>
          </w:tcPr>
          <w:p w14:paraId="38CC0D6F" w14:textId="77777777" w:rsidR="004A10BD" w:rsidRPr="00234D86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Best Management Practice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12" w:space="0" w:color="auto"/>
              <w:right w:val="dashSmallGap" w:sz="12" w:space="0" w:color="auto"/>
            </w:tcBorders>
            <w:shd w:val="clear" w:color="000000" w:fill="D9D9D9"/>
            <w:vAlign w:val="center"/>
          </w:tcPr>
          <w:p w14:paraId="072C1D6A" w14:textId="77777777" w:rsidR="004A10BD" w:rsidRPr="00090EBE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90E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Forest Buffers</w:t>
            </w:r>
          </w:p>
        </w:tc>
        <w:tc>
          <w:tcPr>
            <w:tcW w:w="3270" w:type="pct"/>
            <w:gridSpan w:val="6"/>
            <w:tcBorders>
              <w:top w:val="nil"/>
              <w:left w:val="dashSmallGap" w:sz="12" w:space="0" w:color="auto"/>
              <w:bottom w:val="nil"/>
              <w:right w:val="nil"/>
            </w:tcBorders>
            <w:shd w:val="clear" w:color="000000" w:fill="D9D9D9"/>
            <w:vAlign w:val="center"/>
          </w:tcPr>
          <w:p w14:paraId="427126ED" w14:textId="77777777" w:rsidR="004A10BD" w:rsidRPr="004A10BD" w:rsidRDefault="00AB4C69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Additional Co-</w:t>
            </w:r>
            <w:r w:rsidR="004A10BD" w:rsidRPr="004A10B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Benefits</w:t>
            </w:r>
          </w:p>
        </w:tc>
      </w:tr>
      <w:tr w:rsidR="004A10BD" w:rsidRPr="00234D86" w14:paraId="33E7C8F1" w14:textId="77777777" w:rsidTr="00D03849">
        <w:trPr>
          <w:trHeight w:val="630"/>
        </w:trPr>
        <w:tc>
          <w:tcPr>
            <w:tcW w:w="118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7B1C525" w14:textId="77777777" w:rsidR="004A10BD" w:rsidRPr="00234D86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12" w:space="0" w:color="auto"/>
              <w:bottom w:val="nil"/>
              <w:right w:val="dashSmallGap" w:sz="12" w:space="0" w:color="auto"/>
            </w:tcBorders>
            <w:shd w:val="clear" w:color="000000" w:fill="D9D9D9"/>
            <w:vAlign w:val="center"/>
            <w:hideMark/>
          </w:tcPr>
          <w:p w14:paraId="39E4EC04" w14:textId="77777777" w:rsidR="004A10BD" w:rsidRPr="00090EBE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dashSmallGap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3F2B8C" w14:textId="77777777" w:rsidR="004A10BD" w:rsidRPr="004A10BD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4A10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Habitat Biodiversity 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766862" w14:textId="77777777" w:rsidR="004A10BD" w:rsidRPr="004A10BD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4A10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Brook Trout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8F5F3A" w14:textId="77777777" w:rsidR="004A10BD" w:rsidRPr="004A10BD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4A10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Stream Health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451601" w14:textId="77777777" w:rsidR="004A10BD" w:rsidRPr="004A10BD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4A10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Fish Habitat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69E76E" w14:textId="77777777" w:rsidR="004A10BD" w:rsidRPr="004A10BD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4A10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Healthy Watersheds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009E1" w14:textId="77777777" w:rsidR="004A10BD" w:rsidRPr="004A10BD" w:rsidRDefault="004A10BD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4A10BD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Tree Canopy</w:t>
            </w:r>
          </w:p>
        </w:tc>
      </w:tr>
      <w:tr w:rsidR="00234D86" w:rsidRPr="00234D86" w14:paraId="517373C9" w14:textId="77777777" w:rsidTr="004A10BD">
        <w:trPr>
          <w:trHeight w:val="465"/>
        </w:trPr>
        <w:tc>
          <w:tcPr>
            <w:tcW w:w="11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E1494F9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ricultural</w:t>
            </w: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Forest Buffer</w:t>
            </w: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dashSmallGap" w:sz="12" w:space="0" w:color="auto"/>
            </w:tcBorders>
            <w:shd w:val="clear" w:color="000000" w:fill="63BE7B"/>
            <w:vAlign w:val="center"/>
            <w:hideMark/>
          </w:tcPr>
          <w:p w14:paraId="56A402FA" w14:textId="77777777" w:rsidR="00234D86" w:rsidRPr="00090EBE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90E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nil"/>
              <w:left w:val="dashSmallGap" w:sz="12" w:space="0" w:color="auto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6D130796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77C47D"/>
            <w:vAlign w:val="center"/>
            <w:hideMark/>
          </w:tcPr>
          <w:p w14:paraId="0E16EC5F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2076BB2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77C47D"/>
            <w:vAlign w:val="center"/>
            <w:hideMark/>
          </w:tcPr>
          <w:p w14:paraId="05F58076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364DED6F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77C47D"/>
            <w:vAlign w:val="center"/>
            <w:hideMark/>
          </w:tcPr>
          <w:p w14:paraId="669A888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</w:p>
        </w:tc>
      </w:tr>
      <w:tr w:rsidR="00234D86" w:rsidRPr="00234D86" w14:paraId="65D37C31" w14:textId="77777777" w:rsidTr="004A10BD">
        <w:trPr>
          <w:trHeight w:val="465"/>
        </w:trPr>
        <w:tc>
          <w:tcPr>
            <w:tcW w:w="11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52DC554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Forest Conservation</w:t>
            </w: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dashSmallGap" w:sz="12" w:space="0" w:color="auto"/>
            </w:tcBorders>
            <w:shd w:val="clear" w:color="000000" w:fill="9ECF7F"/>
            <w:vAlign w:val="center"/>
            <w:hideMark/>
          </w:tcPr>
          <w:p w14:paraId="57F80327" w14:textId="77777777" w:rsidR="00234D86" w:rsidRPr="00090EBE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90E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44" w:type="pct"/>
            <w:tcBorders>
              <w:top w:val="nil"/>
              <w:left w:val="dashSmallGap" w:sz="12" w:space="0" w:color="auto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609DCEA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210CB9B4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003CDF4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3A4D37D9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3F645002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065E2C3B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4D86" w:rsidRPr="00234D86" w14:paraId="48A6D4C5" w14:textId="77777777" w:rsidTr="004A10BD">
        <w:trPr>
          <w:trHeight w:val="465"/>
        </w:trPr>
        <w:tc>
          <w:tcPr>
            <w:tcW w:w="11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D505CCE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Forest Harvesting Practices</w:t>
            </w: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dashSmallGap" w:sz="12" w:space="0" w:color="auto"/>
            </w:tcBorders>
            <w:shd w:val="clear" w:color="000000" w:fill="9ECF7F"/>
            <w:vAlign w:val="center"/>
            <w:hideMark/>
          </w:tcPr>
          <w:p w14:paraId="0F055874" w14:textId="77777777" w:rsidR="00234D86" w:rsidRPr="00090EBE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90E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44" w:type="pct"/>
            <w:tcBorders>
              <w:top w:val="nil"/>
              <w:left w:val="dashSmallGap" w:sz="12" w:space="0" w:color="auto"/>
              <w:bottom w:val="nil"/>
              <w:right w:val="nil"/>
            </w:tcBorders>
            <w:shd w:val="clear" w:color="000000" w:fill="D8E082"/>
            <w:vAlign w:val="center"/>
            <w:hideMark/>
          </w:tcPr>
          <w:p w14:paraId="5B1F194E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E082"/>
            <w:vAlign w:val="center"/>
            <w:hideMark/>
          </w:tcPr>
          <w:p w14:paraId="531AA3E5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400E6ADF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B1D580"/>
            <w:vAlign w:val="center"/>
            <w:hideMark/>
          </w:tcPr>
          <w:p w14:paraId="0426CF52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B1D580"/>
            <w:vAlign w:val="center"/>
            <w:hideMark/>
          </w:tcPr>
          <w:p w14:paraId="5FEC3C4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D8E082"/>
            <w:vAlign w:val="center"/>
            <w:hideMark/>
          </w:tcPr>
          <w:p w14:paraId="04D05DB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34D86" w:rsidRPr="00234D86" w14:paraId="59924350" w14:textId="77777777" w:rsidTr="004A10BD">
        <w:trPr>
          <w:trHeight w:val="465"/>
        </w:trPr>
        <w:tc>
          <w:tcPr>
            <w:tcW w:w="11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33D6D5F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Narrow Forest Buffer</w:t>
            </w: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dashSmallGap" w:sz="12" w:space="0" w:color="auto"/>
            </w:tcBorders>
            <w:shd w:val="clear" w:color="000000" w:fill="63BE7B"/>
            <w:vAlign w:val="center"/>
            <w:hideMark/>
          </w:tcPr>
          <w:p w14:paraId="2699AD41" w14:textId="77777777" w:rsidR="00234D86" w:rsidRPr="00090EBE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90E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nil"/>
              <w:left w:val="dashSmallGap" w:sz="12" w:space="0" w:color="auto"/>
              <w:bottom w:val="nil"/>
              <w:right w:val="nil"/>
            </w:tcBorders>
            <w:shd w:val="clear" w:color="000000" w:fill="C5DB81"/>
            <w:vAlign w:val="center"/>
            <w:hideMark/>
          </w:tcPr>
          <w:p w14:paraId="709864FC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9ECF7F"/>
            <w:vAlign w:val="center"/>
            <w:hideMark/>
          </w:tcPr>
          <w:p w14:paraId="2167179A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D8E082"/>
            <w:vAlign w:val="center"/>
            <w:hideMark/>
          </w:tcPr>
          <w:p w14:paraId="0B0132C2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9ECF7F"/>
            <w:vAlign w:val="center"/>
            <w:hideMark/>
          </w:tcPr>
          <w:p w14:paraId="4804FEB7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D8E082"/>
            <w:vAlign w:val="center"/>
            <w:hideMark/>
          </w:tcPr>
          <w:p w14:paraId="02AC7BD7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2E1793EA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4D86" w:rsidRPr="00234D86" w14:paraId="5679063E" w14:textId="77777777" w:rsidTr="004A10BD">
        <w:trPr>
          <w:trHeight w:val="465"/>
        </w:trPr>
        <w:tc>
          <w:tcPr>
            <w:tcW w:w="11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B2D3398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Streamside Forest Buffers</w:t>
            </w: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dashSmallGap" w:sz="12" w:space="0" w:color="auto"/>
            </w:tcBorders>
            <w:shd w:val="clear" w:color="000000" w:fill="63BE7B"/>
            <w:vAlign w:val="center"/>
            <w:hideMark/>
          </w:tcPr>
          <w:p w14:paraId="70213EC2" w14:textId="77777777" w:rsidR="00234D86" w:rsidRPr="00090EBE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90E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nil"/>
              <w:left w:val="dashSmallGap" w:sz="12" w:space="0" w:color="auto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467191EF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77C47D"/>
            <w:vAlign w:val="center"/>
            <w:hideMark/>
          </w:tcPr>
          <w:p w14:paraId="0DF8689A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B1D580"/>
            <w:vAlign w:val="center"/>
            <w:hideMark/>
          </w:tcPr>
          <w:p w14:paraId="0DD18935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77C47D"/>
            <w:vAlign w:val="center"/>
            <w:hideMark/>
          </w:tcPr>
          <w:p w14:paraId="3A895EA4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B1D580"/>
            <w:vAlign w:val="center"/>
            <w:hideMark/>
          </w:tcPr>
          <w:p w14:paraId="43008FBF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079767E2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34D86" w:rsidRPr="00234D86" w14:paraId="516FF5E4" w14:textId="77777777" w:rsidTr="004A10BD">
        <w:trPr>
          <w:trHeight w:val="465"/>
        </w:trPr>
        <w:tc>
          <w:tcPr>
            <w:tcW w:w="11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7BF15AC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Urban Forest Buffers</w:t>
            </w:r>
          </w:p>
        </w:tc>
        <w:tc>
          <w:tcPr>
            <w:tcW w:w="544" w:type="pct"/>
            <w:tcBorders>
              <w:top w:val="nil"/>
              <w:left w:val="single" w:sz="12" w:space="0" w:color="auto"/>
              <w:bottom w:val="nil"/>
              <w:right w:val="dashSmallGap" w:sz="12" w:space="0" w:color="auto"/>
            </w:tcBorders>
            <w:shd w:val="clear" w:color="000000" w:fill="63BE7B"/>
            <w:vAlign w:val="center"/>
            <w:hideMark/>
          </w:tcPr>
          <w:p w14:paraId="75337CF8" w14:textId="77777777" w:rsidR="00234D86" w:rsidRPr="00090EBE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090EBE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nil"/>
              <w:left w:val="dashSmallGap" w:sz="12" w:space="0" w:color="auto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534E34CC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center"/>
            <w:hideMark/>
          </w:tcPr>
          <w:p w14:paraId="7A4C55F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5D89E49A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8ACA7E"/>
            <w:vAlign w:val="center"/>
            <w:hideMark/>
          </w:tcPr>
          <w:p w14:paraId="0E13D113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000000" w:fill="9ECF7F"/>
            <w:vAlign w:val="center"/>
            <w:hideMark/>
          </w:tcPr>
          <w:p w14:paraId="29487350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000000" w:fill="77C47D"/>
            <w:vAlign w:val="center"/>
            <w:hideMark/>
          </w:tcPr>
          <w:p w14:paraId="5B7C7A62" w14:textId="77777777" w:rsidR="00234D86" w:rsidRPr="00234D86" w:rsidRDefault="00234D86" w:rsidP="00234D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34D8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4.5</w:t>
            </w:r>
          </w:p>
        </w:tc>
      </w:tr>
    </w:tbl>
    <w:p w14:paraId="4F390212" w14:textId="77777777" w:rsidR="003D4AE0" w:rsidRPr="003D4AE0" w:rsidRDefault="003D4AE0" w:rsidP="003D4AE0">
      <w:pPr>
        <w:spacing w:after="0"/>
        <w:rPr>
          <w:sz w:val="18"/>
          <w:szCs w:val="20"/>
        </w:rPr>
      </w:pPr>
    </w:p>
    <w:p w14:paraId="59114900" w14:textId="77777777" w:rsidR="00802CC6" w:rsidRPr="003D4AE0" w:rsidRDefault="00802CC6" w:rsidP="003D4AE0">
      <w:pPr>
        <w:spacing w:after="0"/>
        <w:rPr>
          <w:sz w:val="18"/>
          <w:szCs w:val="20"/>
        </w:rPr>
      </w:pPr>
      <w:r w:rsidRPr="003D4AE0">
        <w:rPr>
          <w:noProof/>
          <w:sz w:val="18"/>
          <w:szCs w:val="20"/>
        </w:rPr>
        <w:drawing>
          <wp:anchor distT="0" distB="0" distL="114300" distR="114300" simplePos="0" relativeHeight="251729920" behindDoc="1" locked="0" layoutInCell="1" allowOverlap="1" wp14:anchorId="0BFAAA07" wp14:editId="2A5983F8">
            <wp:simplePos x="0" y="0"/>
            <wp:positionH relativeFrom="column">
              <wp:posOffset>-88900</wp:posOffset>
            </wp:positionH>
            <wp:positionV relativeFrom="paragraph">
              <wp:posOffset>480695</wp:posOffset>
            </wp:positionV>
            <wp:extent cx="4238625" cy="3841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die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AE0" w:rsidRPr="003D4AE0">
        <w:rPr>
          <w:sz w:val="18"/>
          <w:szCs w:val="20"/>
        </w:rPr>
        <w:t xml:space="preserve">*Values were taken from the </w:t>
      </w:r>
      <w:hyperlink r:id="rId11" w:history="1">
        <w:r w:rsidR="003D4AE0" w:rsidRPr="003D4AE0">
          <w:rPr>
            <w:rStyle w:val="Hyperlink"/>
            <w:sz w:val="18"/>
            <w:szCs w:val="20"/>
          </w:rPr>
          <w:t>Quantification of BMP Impact on the Chesapeake Bay Program Management Strategies</w:t>
        </w:r>
      </w:hyperlink>
      <w:r w:rsidR="003D4AE0" w:rsidRPr="003D4AE0">
        <w:rPr>
          <w:sz w:val="18"/>
          <w:szCs w:val="20"/>
        </w:rPr>
        <w:t xml:space="preserve"> study by Tetra </w:t>
      </w:r>
      <w:r w:rsidR="00B3611D">
        <w:rPr>
          <w:sz w:val="18"/>
          <w:szCs w:val="20"/>
        </w:rPr>
        <w:t xml:space="preserve">Tech. </w:t>
      </w:r>
      <w:r w:rsidR="003D4AE0" w:rsidRPr="003D4AE0">
        <w:rPr>
          <w:sz w:val="18"/>
          <w:szCs w:val="20"/>
        </w:rPr>
        <w:t xml:space="preserve"> </w:t>
      </w:r>
      <w:hyperlink r:id="rId12" w:history="1">
        <w:r w:rsidR="003D4AE0" w:rsidRPr="003D4AE0">
          <w:rPr>
            <w:rStyle w:val="Hyperlink"/>
            <w:sz w:val="18"/>
            <w:szCs w:val="20"/>
          </w:rPr>
          <w:t>Appendix E</w:t>
        </w:r>
      </w:hyperlink>
      <w:r w:rsidR="003D4AE0" w:rsidRPr="003D4AE0">
        <w:rPr>
          <w:sz w:val="18"/>
          <w:szCs w:val="20"/>
        </w:rPr>
        <w:t xml:space="preserve"> Final Impact Scores evaluates BMP effects on outcomes on a scale of +5 (very beneficial) to -5 (very harmful). </w:t>
      </w:r>
      <w:r w:rsidR="005C4436" w:rsidRPr="003D4AE0">
        <w:rPr>
          <w:b/>
          <w:sz w:val="18"/>
          <w:szCs w:val="20"/>
        </w:rPr>
        <w:t xml:space="preserve">This table shows BMPs that scored a 3.5 or higher and -3.5 or lower for the </w:t>
      </w:r>
      <w:r w:rsidRPr="003D4AE0">
        <w:rPr>
          <w:b/>
          <w:sz w:val="18"/>
          <w:szCs w:val="20"/>
        </w:rPr>
        <w:t>Forest Buffer Outcome.</w:t>
      </w:r>
      <w:r w:rsidRPr="003D4AE0">
        <w:rPr>
          <w:sz w:val="18"/>
          <w:szCs w:val="20"/>
        </w:rPr>
        <w:t xml:space="preserve"> </w:t>
      </w:r>
    </w:p>
    <w:p w14:paraId="072A6463" w14:textId="77777777" w:rsidR="00D65F97" w:rsidRPr="00AC48F9" w:rsidRDefault="005975D4" w:rsidP="00AF0409">
      <w:pPr>
        <w:spacing w:after="120"/>
        <w:rPr>
          <w:sz w:val="18"/>
          <w:szCs w:val="18"/>
        </w:rPr>
      </w:pPr>
      <w:r w:rsidRPr="00B92645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288820" wp14:editId="78FB14F4">
                <wp:simplePos x="0" y="0"/>
                <wp:positionH relativeFrom="margin">
                  <wp:posOffset>3533775</wp:posOffset>
                </wp:positionH>
                <wp:positionV relativeFrom="paragraph">
                  <wp:posOffset>381000</wp:posOffset>
                </wp:positionV>
                <wp:extent cx="3438525" cy="2343150"/>
                <wp:effectExtent l="0" t="0" r="28575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343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C7E2E16" w14:textId="77777777" w:rsidR="00445D76" w:rsidRPr="000908B1" w:rsidRDefault="00445D76" w:rsidP="00445D76">
                            <w:pPr>
                              <w:rPr>
                                <w:b/>
                                <w:szCs w:val="18"/>
                                <w:u w:val="single"/>
                              </w:rPr>
                            </w:pPr>
                            <w:r w:rsidRPr="000908B1">
                              <w:rPr>
                                <w:b/>
                                <w:szCs w:val="18"/>
                                <w:u w:val="single"/>
                              </w:rPr>
                              <w:t>WIP Implementation</w:t>
                            </w:r>
                          </w:p>
                          <w:p w14:paraId="5FBABD55" w14:textId="77777777" w:rsidR="00C56124" w:rsidRDefault="00E41F55" w:rsidP="007145D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360"/>
                            </w:pPr>
                            <w:r>
                              <w:t>Use every opportunity to en</w:t>
                            </w:r>
                            <w:r w:rsidR="00C56124">
                              <w:t xml:space="preserve">gage </w:t>
                            </w:r>
                            <w:r>
                              <w:t xml:space="preserve">with landowner about </w:t>
                            </w:r>
                            <w:r w:rsidR="00C56124">
                              <w:t xml:space="preserve">buffer restoration </w:t>
                            </w:r>
                            <w:r>
                              <w:t>efforts, including when contacting</w:t>
                            </w:r>
                            <w:r w:rsidR="00C56124">
                              <w:t xml:space="preserve"> for a different restoration pra</w:t>
                            </w:r>
                            <w:r>
                              <w:t>ctices or conservation easements</w:t>
                            </w:r>
                          </w:p>
                          <w:p w14:paraId="19FE60B0" w14:textId="77777777" w:rsidR="0055745D" w:rsidRDefault="0055745D" w:rsidP="007145D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ind w:left="360"/>
                            </w:pPr>
                            <w:r>
                              <w:t xml:space="preserve">Educate landowners and increase incentives to </w:t>
                            </w:r>
                            <w:r w:rsidR="004B2AF3">
                              <w:t>establish</w:t>
                            </w:r>
                            <w:r w:rsidR="00E41F55">
                              <w:t xml:space="preserve"> a buffer</w:t>
                            </w:r>
                          </w:p>
                          <w:p w14:paraId="4ED00E9D" w14:textId="77777777" w:rsidR="00A23134" w:rsidRPr="000908B1" w:rsidRDefault="00A23134" w:rsidP="00A23134">
                            <w:pPr>
                              <w:ind w:left="270" w:hanging="270"/>
                              <w:rPr>
                                <w:szCs w:val="18"/>
                              </w:rPr>
                            </w:pPr>
                          </w:p>
                          <w:p w14:paraId="1ECD6C3D" w14:textId="77777777" w:rsidR="00445D76" w:rsidRPr="000908B1" w:rsidRDefault="00445D76" w:rsidP="009E733C">
                            <w:pPr>
                              <w:ind w:left="270" w:hanging="270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288820" id="Text Box 14" o:spid="_x0000_s1028" type="#_x0000_t202" style="position:absolute;margin-left:278.25pt;margin-top:30pt;width:270.75pt;height:18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h0ewIAAAkFAAAOAAAAZHJzL2Uyb0RvYy54bWysVF1v2jAUfZ+0/2D5fQQosBY1VKwV0yTW&#10;VmqnPhvHKZEcX882JOzX79ghtGv3NC0Pju9H7se55+byqq012yvnKzI5Hw2GnCkjqajMc85/PK4+&#10;nXPmgzCF0GRUzg/K86vFxw+XjZ2rMW1JF8oxBDF+3ticb0Ow8yzzcqtq4QdklYGxJFeLANE9Z4UT&#10;DaLXOhsPh7OsIVdYR1J5D+1NZ+SLFL8slQx3ZelVYDrnqC2k06VzE89scSnmz07YbSWPZYh/qKIW&#10;lUHSU6gbEQTbuepdqLqSjjyVYSCpzqgsK6lSD+hmNHzTzcNWWJV6ATjenmDy/y+svN3fO1YVmN2E&#10;MyNqzOhRtYF9oZZBBXwa6+dwe7BwDC308O31HsrYdlu6Or7REIMdSB9O6MZoEsqzydn5dDzlTMI2&#10;hjSaJvyzl8+t8+GroprFS84dxpdQFfu1DygFrr1LzOZJV8Wq0joJkTLqWju2Fxi2kFKZMEuf6139&#10;nYpOPxvi6cYONcjRqSe9GikS+WKklPCPJNqwJuezM1T+voCDP2UHQwtqONPCByhzvkpPzBsTvNQN&#10;SZsYSiWyHtuMkHfQxltoN20a0biHfUPFAdNw1PHZW7mqgNga2e6FA4ExACxluMNRakLJdLxxtiX3&#10;62/66A9ewcpZg4XIuf+5E06hiW8GjLsYTSZxg5IwmX4eQ3CvLZvXFrOrrwljGGH9rUzX6B90fy0d&#10;1U/Y3WXMCpMwErlzHvrrdejWFLsv1XKZnLAzVoS1ebAyho64RT48tk/C2SNpAvh2S/3qiPkb7nS+&#10;8UtDy12gskrEijh3qGJCUcC+pVkd/w1xoV/LyevlD7b4DQAA//8DAFBLAwQUAAYACAAAACEAR9np&#10;yuIAAAALAQAADwAAAGRycy9kb3ducmV2LnhtbEyPwUrDQBCG74LvsIzgpdhdiwltzKSIVBF7Mhax&#10;t212mgSzuyG7baNP7/Sktxnm45/vz5ej7cSRhtB6h3A7VSDIVd60rkbYvD/dzEGEqJ3RnXeE8E0B&#10;lsXlRa4z40/ujY5lrAWHuJBphCbGPpMyVA1ZHaa+J8e3vR+sjrwOtTSDPnG47eRMqVRa3Tr+0Oie&#10;HhuqvsqDRbCvn/vJdrX9eJk08cdv1qtSPSvE66vx4R5EpDH+wXDWZ3Uo2GnnD84E0SEkSZowipAq&#10;7nQG1GLO0w7hbrZQIItc/u9Q/AIAAP//AwBQSwECLQAUAAYACAAAACEAtoM4kv4AAADhAQAAEwAA&#10;AAAAAAAAAAAAAAAAAAAAW0NvbnRlbnRfVHlwZXNdLnhtbFBLAQItABQABgAIAAAAIQA4/SH/1gAA&#10;AJQBAAALAAAAAAAAAAAAAAAAAC8BAABfcmVscy8ucmVsc1BLAQItABQABgAIAAAAIQBE6mh0ewIA&#10;AAkFAAAOAAAAAAAAAAAAAAAAAC4CAABkcnMvZTJvRG9jLnhtbFBLAQItABQABgAIAAAAIQBH2enK&#10;4gAAAAsBAAAPAAAAAAAAAAAAAAAAANUEAABkcnMvZG93bnJldi54bWxQSwUGAAAAAAQABADzAAAA&#10;5AUAAAAA&#10;" fillcolor="#a8d08d [1945]" strokecolor="window" strokeweight=".5pt">
                <v:textbox>
                  <w:txbxContent>
                    <w:p w14:paraId="0C7E2E16" w14:textId="77777777" w:rsidR="00445D76" w:rsidRPr="000908B1" w:rsidRDefault="00445D76" w:rsidP="00445D76">
                      <w:pPr>
                        <w:rPr>
                          <w:b/>
                          <w:szCs w:val="18"/>
                          <w:u w:val="single"/>
                        </w:rPr>
                      </w:pPr>
                      <w:r w:rsidRPr="000908B1">
                        <w:rPr>
                          <w:b/>
                          <w:szCs w:val="18"/>
                          <w:u w:val="single"/>
                        </w:rPr>
                        <w:t>WIP Implementation</w:t>
                      </w:r>
                    </w:p>
                    <w:p w14:paraId="5FBABD55" w14:textId="77777777" w:rsidR="00C56124" w:rsidRDefault="00E41F55" w:rsidP="007145D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360"/>
                      </w:pPr>
                      <w:r>
                        <w:t>Use every opportunity to en</w:t>
                      </w:r>
                      <w:r w:rsidR="00C56124">
                        <w:t xml:space="preserve">gage </w:t>
                      </w:r>
                      <w:r>
                        <w:t xml:space="preserve">with landowner about </w:t>
                      </w:r>
                      <w:r w:rsidR="00C56124">
                        <w:t xml:space="preserve">buffer restoration </w:t>
                      </w:r>
                      <w:r>
                        <w:t>efforts, including when contacting</w:t>
                      </w:r>
                      <w:r w:rsidR="00C56124">
                        <w:t xml:space="preserve"> for a different restoration pra</w:t>
                      </w:r>
                      <w:r>
                        <w:t>ctices or conservation easements</w:t>
                      </w:r>
                    </w:p>
                    <w:p w14:paraId="19FE60B0" w14:textId="77777777" w:rsidR="0055745D" w:rsidRDefault="0055745D" w:rsidP="007145D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ind w:left="360"/>
                      </w:pPr>
                      <w:r>
                        <w:t xml:space="preserve">Educate landowners and increase incentives to </w:t>
                      </w:r>
                      <w:r w:rsidR="004B2AF3">
                        <w:t>establish</w:t>
                      </w:r>
                      <w:r w:rsidR="00E41F55">
                        <w:t xml:space="preserve"> a buffer</w:t>
                      </w:r>
                    </w:p>
                    <w:p w14:paraId="4ED00E9D" w14:textId="77777777" w:rsidR="00A23134" w:rsidRPr="000908B1" w:rsidRDefault="00A23134" w:rsidP="00A23134">
                      <w:pPr>
                        <w:ind w:left="270" w:hanging="270"/>
                        <w:rPr>
                          <w:szCs w:val="18"/>
                        </w:rPr>
                      </w:pPr>
                    </w:p>
                    <w:p w14:paraId="1ECD6C3D" w14:textId="77777777" w:rsidR="00445D76" w:rsidRPr="000908B1" w:rsidRDefault="00445D76" w:rsidP="009E733C">
                      <w:pPr>
                        <w:ind w:left="270" w:hanging="270"/>
                        <w:rPr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9264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5FD2F8" wp14:editId="1E2D5787">
                <wp:simplePos x="0" y="0"/>
                <wp:positionH relativeFrom="column">
                  <wp:posOffset>-28575</wp:posOffset>
                </wp:positionH>
                <wp:positionV relativeFrom="paragraph">
                  <wp:posOffset>381000</wp:posOffset>
                </wp:positionV>
                <wp:extent cx="3486150" cy="2343150"/>
                <wp:effectExtent l="0" t="0" r="19050" b="1905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343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B8647" w14:textId="77777777" w:rsidR="00445D76" w:rsidRDefault="00445D76" w:rsidP="00445D7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908B1">
                              <w:rPr>
                                <w:b/>
                                <w:u w:val="single"/>
                              </w:rPr>
                              <w:t>WIP Development</w:t>
                            </w:r>
                          </w:p>
                          <w:p w14:paraId="1B5B112F" w14:textId="77777777" w:rsidR="00445D76" w:rsidRDefault="0055745D" w:rsidP="007145D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450"/>
                            </w:pPr>
                            <w:r>
                              <w:t>Calculate benefit of est</w:t>
                            </w:r>
                            <w:r w:rsidR="00E41F55">
                              <w:t>ablishing buffers by using the Chesapeake Assessment Scenario Tool (CAST)</w:t>
                            </w:r>
                          </w:p>
                          <w:p w14:paraId="0FAF052E" w14:textId="77777777" w:rsidR="0055745D" w:rsidRDefault="0055745D" w:rsidP="007145D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450"/>
                            </w:pPr>
                            <w:r>
                              <w:t>Identify area</w:t>
                            </w:r>
                            <w:r w:rsidR="00E41F55">
                              <w:t>s where more buffers are needed</w:t>
                            </w:r>
                          </w:p>
                          <w:p w14:paraId="486665AA" w14:textId="640F1914" w:rsidR="0055745D" w:rsidRDefault="004C187D" w:rsidP="007145D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450"/>
                            </w:pPr>
                            <w:r>
                              <w:t xml:space="preserve">Increase resources </w:t>
                            </w:r>
                            <w:r w:rsidR="0055745D">
                              <w:t xml:space="preserve">for establishing buffers on </w:t>
                            </w:r>
                            <w:r w:rsidR="00E41F55">
                              <w:t>agricultural and developed land</w:t>
                            </w:r>
                          </w:p>
                          <w:p w14:paraId="1B570E31" w14:textId="77777777" w:rsidR="0055745D" w:rsidRDefault="0055745D" w:rsidP="007145D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450"/>
                            </w:pPr>
                            <w:r>
                              <w:t>Insist on buffe</w:t>
                            </w:r>
                            <w:r w:rsidR="005975D4">
                              <w:t>ring all streams on conserved agricultural</w:t>
                            </w:r>
                            <w:r w:rsidR="00E41F55">
                              <w:t xml:space="preserve"> land</w:t>
                            </w:r>
                          </w:p>
                          <w:p w14:paraId="75C822B2" w14:textId="77777777" w:rsidR="0055745D" w:rsidRPr="000908B1" w:rsidRDefault="0055745D" w:rsidP="00E41F55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450"/>
                            </w:pPr>
                            <w:r>
                              <w:t>Improve internal and external education a</w:t>
                            </w:r>
                            <w:r w:rsidR="00E41F55">
                              <w:t>round the importance of buffers</w:t>
                            </w:r>
                          </w:p>
                          <w:p w14:paraId="19E81003" w14:textId="77777777" w:rsidR="0055745D" w:rsidRDefault="0055745D" w:rsidP="0040737C">
                            <w:pPr>
                              <w:ind w:left="270" w:hanging="270"/>
                            </w:pPr>
                          </w:p>
                          <w:p w14:paraId="76BAF49D" w14:textId="77777777" w:rsidR="0055745D" w:rsidRPr="000908B1" w:rsidRDefault="0055745D" w:rsidP="0040737C">
                            <w:pPr>
                              <w:ind w:left="270" w:hanging="2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FD2F8" id="Text Box 59" o:spid="_x0000_s1029" type="#_x0000_t202" style="position:absolute;margin-left:-2.25pt;margin-top:30pt;width:274.5pt;height:18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l+qwIAAPsFAAAOAAAAZHJzL2Uyb0RvYy54bWysVFtv0zAUfkfiP1h+Z+ltZauWTmXTENLY&#10;Jjq0Z9ex2wjHNrbbpvx6PjtJ2w0QGqIP6fG5n+9cLi7rSpGNcL40Oqf9kx4lQnNTlHqZ06+PN+/O&#10;KPGB6YIpo0VOd8LTy+nbNxdbOxEDszKqEI7AifaTrc3pKgQ7yTLPV6Ji/sRYoSGUxlUs4OmWWeHY&#10;Ft4rlQ16vXG2Na6wznDhPbjXjZBOk38pBQ/3UnoRiMopcgvp69J3Eb/Z9IJNlo7ZVcnbNNg/ZFGx&#10;UiPo3tU1C4ysXfmLq6rkzngjwwk3VWakLLlINaCafu9FNfMVsyLVAnC83cPk/59bfrd5cKQscnp6&#10;TolmFXr0KOpAPpiagAV8ttZPoDa3UAw1+Ohzx/dgxrJr6ar4j4II5EB6t0c3euNgDkdn4/4pRByy&#10;wXA0jA/4zw7m1vnwUZiKRCKnDu1LqLLNrQ+NaqcSo3mjyuKmVCo94siIK+XIhqHZjHOhwziZq3X1&#10;2RQNf9zDr2k72BiOhj3q2MgmDV/0lHJ7FkRpss3peIjM/5bAYplQiv4OaeKldLQUaTbbqiLCDZKJ&#10;Cjsloo7SX4REbxKgfyyxi5K0o5YEIK8xbPUPWb3GuKkDFimy0WFvXJXauAal550pvnUpy0YfMB/V&#10;HclQL+o0lMNu0Bam2GH+nGk22Ft+U2JGbpkPD8xhZTFXOEPhHh+pDJpkWoqSlXE/fseP+tgkSCnZ&#10;4gTk1H9fMycoUZ80duy8PxrFm5Eeo9P3AzzcsWRxLNHr6spg8Po4eJYnMuoH1ZHSmeoJ12oWo0LE&#10;NEfsnIaOvArNYcK142I2S0q4EpaFWz23PLqOKMcNeKyfmLPtmgRs2J3pjgWbvNiWRjdaajNbByPL&#10;tEoR5wbVFn9cmDTw7TWMJ+z4nbQON3v6EwAA//8DAFBLAwQUAAYACAAAACEApMyQjN4AAAAJAQAA&#10;DwAAAGRycy9kb3ducmV2LnhtbEyPwU7DMBBE70j8g7VI3FqbKq0gxKmgUg5VuNCGuxub2CJeh9hN&#10;w9+zPcFxZ0azb4rt7Hs2mTG6gBIelgKYwTZoh52E5lgtHoHFpFCrPqCR8GMibMvbm0LlOlzw3UyH&#10;1DEqwZgrCTalIec8ttZ4FZdhMEjeZxi9SnSOHdejulC57/lKiA33yiF9sGowO2var8PZS3jdZW5f&#10;6aNr9q6ZqrePurbftZT3d/PLM7Bk5vQXhis+oUNJTKdwRh1ZL2GRrSkpYSNoEvnr7CqcJGSrJwG8&#10;LPj/BeUvAAAA//8DAFBLAQItABQABgAIAAAAIQC2gziS/gAAAOEBAAATAAAAAAAAAAAAAAAAAAAA&#10;AABbQ29udGVudF9UeXBlc10ueG1sUEsBAi0AFAAGAAgAAAAhADj9If/WAAAAlAEAAAsAAAAAAAAA&#10;AAAAAAAALwEAAF9yZWxzLy5yZWxzUEsBAi0AFAAGAAgAAAAhAOTAqX6rAgAA+wUAAA4AAAAAAAAA&#10;AAAAAAAALgIAAGRycy9lMm9Eb2MueG1sUEsBAi0AFAAGAAgAAAAhAKTMkIzeAAAACQEAAA8AAAAA&#10;AAAAAAAAAAAABQUAAGRycy9kb3ducmV2LnhtbFBLBQYAAAAABAAEAPMAAAAQBgAAAAA=&#10;" fillcolor="#a8d08d [1945]" strokecolor="white [3212]" strokeweight=".5pt">
                <v:textbox>
                  <w:txbxContent>
                    <w:p w14:paraId="1BFB8647" w14:textId="77777777" w:rsidR="00445D76" w:rsidRDefault="00445D76" w:rsidP="00445D76">
                      <w:pPr>
                        <w:rPr>
                          <w:b/>
                          <w:u w:val="single"/>
                        </w:rPr>
                      </w:pPr>
                      <w:r w:rsidRPr="000908B1">
                        <w:rPr>
                          <w:b/>
                          <w:u w:val="single"/>
                        </w:rPr>
                        <w:t>WIP Development</w:t>
                      </w:r>
                    </w:p>
                    <w:p w14:paraId="1B5B112F" w14:textId="77777777" w:rsidR="00445D76" w:rsidRDefault="0055745D" w:rsidP="007145D5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450"/>
                      </w:pPr>
                      <w:r>
                        <w:t>Calculate benefit of est</w:t>
                      </w:r>
                      <w:r w:rsidR="00E41F55">
                        <w:t>ablishing buffers by using the Chesapeake Assessment Scenario Tool (CAST)</w:t>
                      </w:r>
                    </w:p>
                    <w:p w14:paraId="0FAF052E" w14:textId="77777777" w:rsidR="0055745D" w:rsidRDefault="0055745D" w:rsidP="007145D5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450"/>
                      </w:pPr>
                      <w:r>
                        <w:t>Identify area</w:t>
                      </w:r>
                      <w:r w:rsidR="00E41F55">
                        <w:t>s where more buffers are needed</w:t>
                      </w:r>
                    </w:p>
                    <w:p w14:paraId="486665AA" w14:textId="640F1914" w:rsidR="0055745D" w:rsidRDefault="004C187D" w:rsidP="007145D5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450"/>
                      </w:pPr>
                      <w:r>
                        <w:t xml:space="preserve">Increase resources </w:t>
                      </w:r>
                      <w:r w:rsidR="0055745D">
                        <w:t xml:space="preserve">for establishing buffers on </w:t>
                      </w:r>
                      <w:r w:rsidR="00E41F55">
                        <w:t>agricultural and developed land</w:t>
                      </w:r>
                    </w:p>
                    <w:p w14:paraId="1B570E31" w14:textId="77777777" w:rsidR="0055745D" w:rsidRDefault="0055745D" w:rsidP="007145D5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450"/>
                      </w:pPr>
                      <w:r>
                        <w:t>Insist on buffe</w:t>
                      </w:r>
                      <w:r w:rsidR="005975D4">
                        <w:t>ring all streams on conserved agricultural</w:t>
                      </w:r>
                      <w:r w:rsidR="00E41F55">
                        <w:t xml:space="preserve"> land</w:t>
                      </w:r>
                    </w:p>
                    <w:p w14:paraId="75C822B2" w14:textId="77777777" w:rsidR="0055745D" w:rsidRPr="000908B1" w:rsidRDefault="0055745D" w:rsidP="00E41F55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450"/>
                      </w:pPr>
                      <w:r>
                        <w:t>Improve internal and external education a</w:t>
                      </w:r>
                      <w:r w:rsidR="00E41F55">
                        <w:t>round the importance of buffers</w:t>
                      </w:r>
                    </w:p>
                    <w:p w14:paraId="19E81003" w14:textId="77777777" w:rsidR="0055745D" w:rsidRDefault="0055745D" w:rsidP="0040737C">
                      <w:pPr>
                        <w:ind w:left="270" w:hanging="270"/>
                      </w:pPr>
                    </w:p>
                    <w:p w14:paraId="76BAF49D" w14:textId="77777777" w:rsidR="0055745D" w:rsidRPr="000908B1" w:rsidRDefault="0055745D" w:rsidP="0040737C">
                      <w:pPr>
                        <w:ind w:left="270" w:hanging="27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0409" w:rsidRPr="009C3AD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838AF1" wp14:editId="6D762287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9723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5F5E27" id="Straight Connector 9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5pt" to="549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CdPfQBAAA/BAAADgAAAGRycy9lMm9Eb2MueG1srFNNj9sgEL1X6n9A3Bs7aTdtrDh7yGp76UfU&#10;7fbOYoiRgEHAxs6/7wCOd9vtpVV9QJ6vN/Mew/Z6NJqchA8KbEuXi5oSYTl0yh5bev/99s0HSkJk&#10;tmMarGjpWQR6vXv9aju4RqygB90JTxDEhmZwLe1jdE1VBd4Lw8ICnLAYlOANi2j6Y9V5NiC60dWq&#10;rtfVAL5zHrgIAb03JUh3GV9KweNXKYOIRLcUZ4v59Pl8SGe127Lm6JnrFZ/GYP8whWHKYtMZ6oZF&#10;Rh69egFlFPcQQMYFB1OBlIqLzAHZLOvf2Nz1zInMBcUJbpYp/D9Y/uV08ER1Ld1QYpnBK7qLnqlj&#10;H8kerEUBwZNN0mlwocH0vT34yQru4BPpUXpDpFbuB65AlgGJkTGrfJ5VFmMkHJ3rzfvV2xovg19i&#10;VYFIUM6H+FGAIemnpVrZJABr2OlTiNgWUy8pya0tGVq6unqHeMkOoFV3q7TORloisdeenBheP+Nc&#10;2LjOefrRfIau+K9q/BJBxM57l0qK9YSGMW3RmUQotPNfPGtR5vgmJMqI9IoAM9Dz3supi7aYncok&#10;TjoXTgz+NPSlcMpPpSIv998UzxW5M9g4FxtlwRf9fu0ex7lzyb8oUHgnCR6gO+eFyNLglmblpheV&#10;nsFzO5c/vfvdTwAAAP//AwBQSwMEFAAGAAgAAAAhAF9hp+DbAAAABwEAAA8AAABkcnMvZG93bnJl&#10;di54bWxMj09PwzAMxe9IfIfISNxYCgM0StNpGnBEaGUS45Y1pqlonNJ4W/n2eOIAJ/951ns/F/Mx&#10;dGqPQ2ojGbicZKCQ6uhaagysX58uZqASW3K2i4QGvjHBvDw9KWzu4oFWuK+4UWJCKbcGPHOfa51q&#10;j8GmSeyRRPuIQ7As49BoN9iDmIdOX2XZrQ62JUnwtselx/qz2gUDS1qs3x/eNtPHF3rmaUK/+apW&#10;xpyfjYt7UIwj/x3DEV/QoRSmbdyRS6ozII+wgesbqUc1u5tJt/3d6LLQ//nLHwAAAP//AwBQSwEC&#10;LQAUAAYACAAAACEA5JnDwPsAAADhAQAAEwAAAAAAAAAAAAAAAAAAAAAAW0NvbnRlbnRfVHlwZXNd&#10;LnhtbFBLAQItABQABgAIAAAAIQAjsmrh1wAAAJQBAAALAAAAAAAAAAAAAAAAACwBAABfcmVscy8u&#10;cmVsc1BLAQItABQABgAIAAAAIQDUYJ099AEAAD8EAAAOAAAAAAAAAAAAAAAAACwCAABkcnMvZTJv&#10;RG9jLnhtbFBLAQItABQABgAIAAAAIQBfYafg2wAAAAcBAAAPAAAAAAAAAAAAAAAAAEwEAABkcnMv&#10;ZG93bnJldi54bWxQSwUGAAAAAAQABADzAAAAVAUAAAAA&#10;" strokecolor="#375623 [1609]" strokeweight="2pt">
                <v:stroke joinstyle="miter"/>
              </v:line>
            </w:pict>
          </mc:Fallback>
        </mc:AlternateContent>
      </w:r>
      <w:r w:rsidR="00445D76" w:rsidRPr="00B92645">
        <w:rPr>
          <w:b/>
          <w:sz w:val="28"/>
          <w:szCs w:val="28"/>
        </w:rPr>
        <w:t xml:space="preserve">Guiding Principles for </w:t>
      </w:r>
      <w:r w:rsidR="00EB1AA9">
        <w:rPr>
          <w:b/>
          <w:sz w:val="28"/>
          <w:szCs w:val="28"/>
        </w:rPr>
        <w:t>Incorporating Outcome</w:t>
      </w:r>
    </w:p>
    <w:p w14:paraId="0059E636" w14:textId="77777777" w:rsidR="007339BE" w:rsidRPr="006C58C8" w:rsidRDefault="007339BE" w:rsidP="00AF0409">
      <w:pPr>
        <w:spacing w:after="120"/>
        <w:rPr>
          <w:sz w:val="28"/>
          <w:szCs w:val="28"/>
        </w:rPr>
      </w:pPr>
    </w:p>
    <w:p w14:paraId="13E15A98" w14:textId="77777777" w:rsidR="00344B6E" w:rsidRDefault="00EB1AA9" w:rsidP="00EB1AA9">
      <w:pPr>
        <w:spacing w:after="120" w:line="22" w:lineRule="atLeast"/>
        <w:rPr>
          <w:b/>
          <w:sz w:val="28"/>
          <w:szCs w:val="28"/>
        </w:rPr>
      </w:pPr>
      <w:r w:rsidRPr="009C3AD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179338" wp14:editId="6B77C70C">
                <wp:simplePos x="0" y="0"/>
                <wp:positionH relativeFrom="column">
                  <wp:posOffset>0</wp:posOffset>
                </wp:positionH>
                <wp:positionV relativeFrom="paragraph">
                  <wp:posOffset>255651</wp:posOffset>
                </wp:positionV>
                <wp:extent cx="70008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7AE224" id="Straight Connector 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15pt" to="551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2S9AEAAD8EAAAOAAAAZHJzL2Uyb0RvYy54bWysU01v2zAMvQ/YfxB0X+wES1MYcXpI0V32&#10;Eazb7qosxQIkUZDUOPn3o+jEy7rTil4Ei+R75Hum1ndHZ9lBxWTAt3w+qzlTXkJn/L7lP388fLjl&#10;LGXhO2HBq5afVOJ3m/fv1kNo1AJ6sJ2KDEl8aobQ8j7n0FRVkr1yIs0gKI9JDdGJjNe4r7ooBmR3&#10;tlrU9U01QOxCBKlSwuj9mOQb4tdayfxN66Qysy3H2TKdkc6nclabtWj2UYTeyPMY4hVTOGE8Np2o&#10;7kUW7Dmaf6ickRES6DyT4CrQ2khFGlDNvH6h5rEXQZEWNCeFyab0drTy62EXmelavuLMC4e/6DFH&#10;YfZ9ZlvwHg2EyFbFpyGkBsu3fhfPtxR2sYg+6uiYtib8whUgG1AYO5LLp8lldcxMYnBV1/XtasmZ&#10;vOSqkaJQhZjyJwWOlY+WW+OLAaIRh88pY1ssvZSUsPVsaPli+bGuqSyBNd2DsbYkaYnU1kZ2EPj7&#10;hZTK5xuqs8/uC3RjfInz0CIg9wShTldsmLMeg8WEUTZ95ZNV4xzflUYbUd5owER03XtebCQmrC4w&#10;jZNOwLOCsvkvh74Az/UFqmi5/wc8Iagz+DyBnfEQR//+7p6PU+ex/uLAqLtY8ATdiRaCrMEtJYXn&#10;F1WewfWd4H/e/eY3AAAA//8DAFBLAwQUAAYACAAAACEAeJWQFNsAAAAHAQAADwAAAGRycy9kb3du&#10;cmV2LnhtbEyPwU7DMBBE70j8g7VI3KjdBlAVsqmqAkeEGirR3tx4iSPidYjdNvw9rjjAcWdGM2+L&#10;xeg6caQhtJ4RphMFgrj2puUGYfP2fDMHEaJmozvPhPBNARbl5UWhc+NPvKZjFRuRSjjkGsHG2OdS&#10;htqS02Hie+LkffjB6ZjOoZFm0KdU7jo5U+peOt1yWrC6p5Wl+rM6OIQVLze7x/dt9vTKLzELZLdf&#10;1Rrx+mpcPoCINMa/MJzxEzqUiWnvD2yC6BDSIxHhVmUgzu5Uze5A7H8VWRbyP3/5AwAA//8DAFBL&#10;AQItABQABgAIAAAAIQC2gziS/gAAAOEBAAATAAAAAAAAAAAAAAAAAAAAAABbQ29udGVudF9UeXBl&#10;c10ueG1sUEsBAi0AFAAGAAgAAAAhADj9If/WAAAAlAEAAAsAAAAAAAAAAAAAAAAALwEAAF9yZWxz&#10;Ly5yZWxzUEsBAi0AFAAGAAgAAAAhAJurPZL0AQAAPwQAAA4AAAAAAAAAAAAAAAAALgIAAGRycy9l&#10;Mm9Eb2MueG1sUEsBAi0AFAAGAAgAAAAhAHiVkBTbAAAABwEAAA8AAAAAAAAAAAAAAAAATgQAAGRy&#10;cy9kb3ducmV2LnhtbFBLBQYAAAAABAAEAPMAAABWBQAAAAA=&#10;" strokecolor="#375623 [1609]" strokeweight="2pt">
                <v:stroke joinstyle="miter"/>
              </v:line>
            </w:pict>
          </mc:Fallback>
        </mc:AlternateContent>
      </w:r>
      <w:r w:rsidR="0040737C">
        <w:rPr>
          <w:b/>
          <w:sz w:val="28"/>
          <w:szCs w:val="28"/>
        </w:rPr>
        <w:t xml:space="preserve">Tools and Resources </w:t>
      </w:r>
    </w:p>
    <w:p w14:paraId="1177A2CB" w14:textId="03126246" w:rsidR="004C187D" w:rsidRDefault="00853A7B" w:rsidP="004C187D">
      <w:pPr>
        <w:pStyle w:val="ListParagraph"/>
        <w:widowControl w:val="0"/>
        <w:numPr>
          <w:ilvl w:val="0"/>
          <w:numId w:val="16"/>
        </w:numPr>
        <w:tabs>
          <w:tab w:val="left" w:pos="1515"/>
          <w:tab w:val="left" w:pos="1628"/>
          <w:tab w:val="left" w:pos="2630"/>
        </w:tabs>
        <w:spacing w:after="0"/>
        <w:ind w:left="360"/>
        <w:rPr>
          <w:rFonts w:eastAsia="Cambria" w:cs="Cambria"/>
          <w:bCs/>
        </w:rPr>
      </w:pPr>
      <w:hyperlink r:id="rId13" w:history="1">
        <w:r w:rsidR="00A652FA" w:rsidRPr="004C187D">
          <w:rPr>
            <w:rStyle w:val="Hyperlink"/>
            <w:rFonts w:eastAsia="Cambria" w:cs="Cambria"/>
            <w:bCs/>
          </w:rPr>
          <w:t>A</w:t>
        </w:r>
        <w:r w:rsidR="009C3F76" w:rsidRPr="004C187D">
          <w:rPr>
            <w:rStyle w:val="Hyperlink"/>
            <w:rFonts w:eastAsia="Cambria" w:cs="Cambria"/>
            <w:bCs/>
          </w:rPr>
          <w:t xml:space="preserve"> Guide</w:t>
        </w:r>
        <w:r w:rsidR="00A652FA" w:rsidRPr="004C187D">
          <w:rPr>
            <w:rStyle w:val="Hyperlink"/>
            <w:rFonts w:eastAsia="Cambria" w:cs="Cambria"/>
            <w:bCs/>
          </w:rPr>
          <w:t xml:space="preserve"> for Forestry Practices for Phase III WIPs</w:t>
        </w:r>
      </w:hyperlink>
      <w:r w:rsidR="004C187D" w:rsidRPr="004C187D">
        <w:rPr>
          <w:rFonts w:eastAsia="Cambria" w:cs="Cambria"/>
          <w:bCs/>
        </w:rPr>
        <w:t xml:space="preserve"> </w:t>
      </w:r>
    </w:p>
    <w:p w14:paraId="1A142C59" w14:textId="35AD109A" w:rsidR="009C3F76" w:rsidRDefault="009C3F76" w:rsidP="004C187D">
      <w:pPr>
        <w:pStyle w:val="ListParagraph"/>
        <w:widowControl w:val="0"/>
        <w:tabs>
          <w:tab w:val="left" w:pos="1515"/>
          <w:tab w:val="left" w:pos="1628"/>
          <w:tab w:val="left" w:pos="2630"/>
        </w:tabs>
        <w:spacing w:after="0"/>
        <w:ind w:left="360"/>
        <w:rPr>
          <w:rFonts w:eastAsia="Cambria" w:cs="Cambria"/>
          <w:bCs/>
        </w:rPr>
      </w:pPr>
      <w:r w:rsidRPr="004C187D">
        <w:rPr>
          <w:rFonts w:eastAsia="Cambria" w:cs="Cambria"/>
          <w:bCs/>
        </w:rPr>
        <w:t xml:space="preserve">Packet of information on all forestry practices </w:t>
      </w:r>
    </w:p>
    <w:p w14:paraId="4B62A907" w14:textId="77777777" w:rsidR="004C187D" w:rsidRPr="004C187D" w:rsidRDefault="004C187D" w:rsidP="004C187D">
      <w:pPr>
        <w:pStyle w:val="ListParagraph"/>
        <w:widowControl w:val="0"/>
        <w:tabs>
          <w:tab w:val="left" w:pos="1515"/>
          <w:tab w:val="left" w:pos="1628"/>
          <w:tab w:val="left" w:pos="2630"/>
        </w:tabs>
        <w:spacing w:after="0"/>
        <w:ind w:left="360"/>
        <w:rPr>
          <w:rFonts w:eastAsia="Cambria" w:cs="Cambria"/>
          <w:bCs/>
        </w:rPr>
      </w:pPr>
    </w:p>
    <w:p w14:paraId="04B0F7B6" w14:textId="6213DBC9" w:rsidR="004A10BD" w:rsidRPr="004C187D" w:rsidRDefault="00853A7B" w:rsidP="004C187D">
      <w:pPr>
        <w:pStyle w:val="ListParagraph"/>
        <w:numPr>
          <w:ilvl w:val="0"/>
          <w:numId w:val="11"/>
        </w:numPr>
        <w:spacing w:after="0"/>
        <w:ind w:left="360"/>
        <w:rPr>
          <w:color w:val="0563C1"/>
          <w:u w:val="single"/>
        </w:rPr>
      </w:pPr>
      <w:hyperlink r:id="rId14" w:history="1">
        <w:r w:rsidR="00A4468E" w:rsidRPr="0040737C">
          <w:rPr>
            <w:rStyle w:val="Hyperlink"/>
          </w:rPr>
          <w:t>Healthy Watersheds Forestry TMDL Forest Retention Study</w:t>
        </w:r>
      </w:hyperlink>
      <w:r w:rsidR="004A10BD">
        <w:rPr>
          <w:rStyle w:val="Hyperlink"/>
        </w:rPr>
        <w:t xml:space="preserve"> </w:t>
      </w:r>
    </w:p>
    <w:p w14:paraId="141BA3BD" w14:textId="5C1CDF00" w:rsidR="00A4468E" w:rsidRDefault="00A4468E" w:rsidP="004C187D">
      <w:pPr>
        <w:pStyle w:val="ListParagraph"/>
        <w:spacing w:after="0"/>
        <w:ind w:left="360"/>
        <w:contextualSpacing w:val="0"/>
      </w:pPr>
      <w:r w:rsidRPr="004A10BD">
        <w:t>This report includes a toolbox of recommendations and incentives for stimulating forestland retention</w:t>
      </w:r>
    </w:p>
    <w:p w14:paraId="5AA3F617" w14:textId="77777777" w:rsidR="004C187D" w:rsidRPr="004A10BD" w:rsidRDefault="004C187D" w:rsidP="004C187D">
      <w:pPr>
        <w:pStyle w:val="ListParagraph"/>
        <w:spacing w:after="0"/>
        <w:ind w:left="360"/>
        <w:contextualSpacing w:val="0"/>
      </w:pPr>
    </w:p>
    <w:p w14:paraId="036539FE" w14:textId="32420F99" w:rsidR="00A4468E" w:rsidRPr="0040737C" w:rsidRDefault="00853A7B" w:rsidP="004C187D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hanging="720"/>
        <w:rPr>
          <w:color w:val="0563C1"/>
          <w:u w:val="single"/>
        </w:rPr>
      </w:pPr>
      <w:hyperlink r:id="rId15" w:history="1">
        <w:r w:rsidR="009C3F76" w:rsidRPr="00CB23B5">
          <w:rPr>
            <w:rStyle w:val="Hyperlink"/>
          </w:rPr>
          <w:t>Chesapeake Riparian Forest Buffer Network</w:t>
        </w:r>
      </w:hyperlink>
      <w:r w:rsidR="009C3F76">
        <w:t xml:space="preserve"> </w:t>
      </w:r>
      <w:bookmarkStart w:id="0" w:name="_GoBack"/>
      <w:bookmarkEnd w:id="0"/>
    </w:p>
    <w:p w14:paraId="5D6E7ED1" w14:textId="5F24AA31" w:rsidR="00A4468E" w:rsidRDefault="009C3F76" w:rsidP="004C187D">
      <w:pPr>
        <w:pStyle w:val="ListParagraph"/>
        <w:spacing w:after="0"/>
        <w:ind w:left="360"/>
        <w:contextualSpacing w:val="0"/>
      </w:pPr>
      <w:r>
        <w:t xml:space="preserve">Website with </w:t>
      </w:r>
      <w:r w:rsidR="00CB23B5">
        <w:t xml:space="preserve">information, </w:t>
      </w:r>
      <w:r>
        <w:t>resources</w:t>
      </w:r>
      <w:r w:rsidR="00CB23B5">
        <w:t>,</w:t>
      </w:r>
      <w:r>
        <w:t xml:space="preserve"> and </w:t>
      </w:r>
      <w:r w:rsidR="00CB23B5">
        <w:t>success stories related to riparian forest buffers</w:t>
      </w:r>
    </w:p>
    <w:p w14:paraId="1CA211D7" w14:textId="77777777" w:rsidR="004C187D" w:rsidRDefault="004C187D" w:rsidP="004C187D">
      <w:pPr>
        <w:pStyle w:val="ListParagraph"/>
        <w:spacing w:after="0"/>
        <w:ind w:left="360"/>
        <w:contextualSpacing w:val="0"/>
      </w:pPr>
    </w:p>
    <w:p w14:paraId="730404F2" w14:textId="3DC3C8FB" w:rsidR="004A10BD" w:rsidRDefault="005E684C" w:rsidP="004C187D">
      <w:pPr>
        <w:pStyle w:val="ListParagraph"/>
        <w:numPr>
          <w:ilvl w:val="0"/>
          <w:numId w:val="16"/>
        </w:numPr>
        <w:spacing w:after="0"/>
        <w:ind w:left="360"/>
      </w:pPr>
      <w:r>
        <w:t>Additional information can be</w:t>
      </w:r>
      <w:r w:rsidR="004A10BD">
        <w:t xml:space="preserve"> found on the </w:t>
      </w:r>
      <w:hyperlink r:id="rId16" w:history="1">
        <w:r w:rsidR="004A10BD" w:rsidRPr="004C187D">
          <w:rPr>
            <w:rStyle w:val="Hyperlink"/>
          </w:rPr>
          <w:t>Forestry Workgroup page</w:t>
        </w:r>
      </w:hyperlink>
      <w:r w:rsidR="004A10BD">
        <w:t xml:space="preserve"> </w:t>
      </w:r>
    </w:p>
    <w:p w14:paraId="76119E93" w14:textId="77777777" w:rsidR="004C187D" w:rsidRDefault="004C187D" w:rsidP="004C187D">
      <w:pPr>
        <w:pStyle w:val="ListParagraph"/>
        <w:spacing w:after="0"/>
        <w:ind w:left="360"/>
      </w:pPr>
    </w:p>
    <w:p w14:paraId="7C3E9CC4" w14:textId="77777777" w:rsidR="00A4468E" w:rsidRPr="006C58C8" w:rsidRDefault="00A4468E" w:rsidP="004C187D">
      <w:pPr>
        <w:spacing w:after="0"/>
        <w:rPr>
          <w:sz w:val="28"/>
          <w:szCs w:val="28"/>
        </w:rPr>
      </w:pPr>
    </w:p>
    <w:p w14:paraId="0910F7EE" w14:textId="77777777" w:rsidR="006D43CC" w:rsidRPr="00EB1AA9" w:rsidRDefault="002F4FD6" w:rsidP="00EB1AA9">
      <w:pPr>
        <w:spacing w:after="120"/>
        <w:rPr>
          <w:b/>
          <w:sz w:val="28"/>
          <w:szCs w:val="28"/>
        </w:rPr>
      </w:pPr>
      <w:r w:rsidRPr="009C3AD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1C134A" wp14:editId="691CE881">
                <wp:simplePos x="0" y="0"/>
                <wp:positionH relativeFrom="column">
                  <wp:posOffset>0</wp:posOffset>
                </wp:positionH>
                <wp:positionV relativeFrom="paragraph">
                  <wp:posOffset>253441</wp:posOffset>
                </wp:positionV>
                <wp:extent cx="70008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0285DD" id="Straight Connector 1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95pt" to="551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Wjy8wEAAEEEAAAOAAAAZHJzL2Uyb0RvYy54bWysU01v2zAMvQ/YfxB0X+wES1sYcXpI0V32&#10;Eazb7qosxQIkUZDU2Pn3o+jEy7rThl0Ei+R75HumNvejs+yoYjLgW75c1JwpL6Ez/tDy798e391x&#10;lrLwnbDgVctPKvH77ds3myE0agU92E5FhiQ+NUNoeZ9zaKoqyV45kRYQlMekhuhExms8VF0UA7I7&#10;W63q+qYaIHYhglQpYfRhSvIt8WutZP6idVKZ2ZbjbJnOSOdzOavtRjSHKEJv5HkM8Q9TOGE8Np2p&#10;HkQW7CWaP6ickRES6LyQ4CrQ2khFGlDNsn6l5qkXQZEWNCeF2ab0/2jl5+M+MtPhv1ty5oXDf/SU&#10;ozCHPrMdeI8OQmSYRKeGkBoE7Pw+nm8p7GORPeromLYm/EAiMgKlsZF8Ps0+qzEzicHbuq7vbtec&#10;yUuumigKVYgpf1DgWPlouTW+WCAacfyYMrbF0ktJCVvPhpav1u/rmsoSWNM9GmtLktZI7WxkR4EL&#10;IKRUPt9QnX1xn6Cb4much1YBuWcIdbpiw5z1GCwmTLLpK5+smub4qjQaifImA2ai695kIzFhdYFp&#10;nHQGnhWU3X899AV4ri9QRev9N+AZQZ3B5xnsjIc4+fd79zzOnaf6iwOT7mLBM3QnWgiyBveUnDu/&#10;qfIQru8E//Xytz8BAAD//wMAUEsDBBQABgAIAAAAIQDLU8723AAAAAcBAAAPAAAAZHJzL2Rvd25y&#10;ZXYueG1sTI9BT8JAEIXvJvyHzZh4ky00EqndEoJ6NIZKIt6W7tht7M6W7gD137OEgx7nvZf3vskX&#10;g2vFEfvQeFIwGScgkCpvGqoVbD5e7x9BBNZkdOsJFfxigEUxusl1ZvyJ1ngsuRaxhEKmFVjmLpMy&#10;VBadDmPfIUXv2/dOczz7Wppen2K5a+U0SWbS6YbigtUdrixWP+XBKVjRcvP1/LlNX97pjdOAdrsv&#10;10rd3Q7LJxCMA/+F4YIf0aGITDt/IBNEqyA+wgrS+RzExZ0k0wcQu6sii1z+5y/OAAAA//8DAFBL&#10;AQItABQABgAIAAAAIQC2gziS/gAAAOEBAAATAAAAAAAAAAAAAAAAAAAAAABbQ29udGVudF9UeXBl&#10;c10ueG1sUEsBAi0AFAAGAAgAAAAhADj9If/WAAAAlAEAAAsAAAAAAAAAAAAAAAAALwEAAF9yZWxz&#10;Ly5yZWxzUEsBAi0AFAAGAAgAAAAhADfdaPLzAQAAQQQAAA4AAAAAAAAAAAAAAAAALgIAAGRycy9l&#10;Mm9Eb2MueG1sUEsBAi0AFAAGAAgAAAAhAMtTzvbcAAAABwEAAA8AAAAAAAAAAAAAAAAATQQAAGRy&#10;cy9kb3ducmV2LnhtbFBLBQYAAAAABAAEAPMAAABWBQAAAAA=&#10;" strokecolor="#375623 [1609]" strokeweight="2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Contacts for More Information</w:t>
      </w:r>
      <w:r w:rsidRPr="002F4FD6">
        <w:rPr>
          <w:b/>
          <w:sz w:val="28"/>
          <w:szCs w:val="28"/>
        </w:rPr>
        <w:t xml:space="preserve"> </w:t>
      </w:r>
      <w:r w:rsidR="00A43061">
        <w:rPr>
          <w:b/>
          <w:sz w:val="28"/>
          <w:szCs w:val="28"/>
        </w:rPr>
        <w:t xml:space="preserve">on </w:t>
      </w:r>
      <w:r w:rsidR="00CB23B5">
        <w:rPr>
          <w:b/>
          <w:sz w:val="28"/>
          <w:szCs w:val="28"/>
        </w:rPr>
        <w:t>Forest Buffers</w:t>
      </w:r>
      <w:r w:rsidR="00A43061">
        <w:rPr>
          <w:b/>
          <w:sz w:val="28"/>
          <w:szCs w:val="28"/>
        </w:rPr>
        <w:t xml:space="preserve"> in your Jurisdiction</w:t>
      </w:r>
    </w:p>
    <w:tbl>
      <w:tblPr>
        <w:tblStyle w:val="TableGridLight"/>
        <w:tblW w:w="10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330"/>
        <w:gridCol w:w="2430"/>
        <w:gridCol w:w="3634"/>
      </w:tblGrid>
      <w:tr w:rsidR="00D01311" w:rsidRPr="00EB1AA9" w14:paraId="4A859BC3" w14:textId="77777777" w:rsidTr="00853A7B">
        <w:trPr>
          <w:trHeight w:val="405"/>
        </w:trPr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6B040827" w14:textId="77777777" w:rsidR="00A4468E" w:rsidRPr="00CB23B5" w:rsidRDefault="00A4468E" w:rsidP="00BC7080">
            <w:pPr>
              <w:spacing w:after="120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b/>
                <w:bCs/>
                <w:color w:val="000000"/>
                <w:szCs w:val="20"/>
              </w:rPr>
              <w:t>Jurisdiction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14B99DD5" w14:textId="77777777" w:rsidR="00A4468E" w:rsidRPr="00CB23B5" w:rsidRDefault="00A4468E" w:rsidP="00BC7080">
            <w:pPr>
              <w:spacing w:after="120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b/>
                <w:bCs/>
                <w:color w:val="000000"/>
                <w:szCs w:val="20"/>
              </w:rPr>
              <w:t>Website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A8D08D" w:themeFill="accent6" w:themeFillTint="99"/>
            <w:noWrap/>
            <w:hideMark/>
          </w:tcPr>
          <w:p w14:paraId="2FE8A9F4" w14:textId="77777777" w:rsidR="00A4468E" w:rsidRPr="00CB23B5" w:rsidRDefault="00A4468E" w:rsidP="00BC7080">
            <w:pPr>
              <w:spacing w:after="120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b/>
                <w:bCs/>
                <w:color w:val="000000"/>
                <w:szCs w:val="20"/>
              </w:rPr>
              <w:t>Lead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auto"/>
              <w:bottom w:val="single" w:sz="12" w:space="0" w:color="4472C4" w:themeColor="accent5"/>
              <w:right w:val="single" w:sz="12" w:space="0" w:color="auto"/>
            </w:tcBorders>
            <w:shd w:val="clear" w:color="auto" w:fill="A8D08D" w:themeFill="accent6" w:themeFillTint="99"/>
            <w:noWrap/>
            <w:hideMark/>
          </w:tcPr>
          <w:p w14:paraId="0BCCCA9D" w14:textId="77777777" w:rsidR="00A4468E" w:rsidRPr="00CB23B5" w:rsidRDefault="00A4468E" w:rsidP="00BC7080">
            <w:pPr>
              <w:spacing w:after="120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b/>
                <w:bCs/>
                <w:color w:val="000000"/>
                <w:szCs w:val="20"/>
              </w:rPr>
              <w:t xml:space="preserve">Email </w:t>
            </w:r>
          </w:p>
        </w:tc>
      </w:tr>
      <w:tr w:rsidR="00D01311" w:rsidRPr="00EB1AA9" w14:paraId="4D7BBB82" w14:textId="77777777" w:rsidTr="00853A7B">
        <w:trPr>
          <w:trHeight w:val="276"/>
        </w:trPr>
        <w:tc>
          <w:tcPr>
            <w:tcW w:w="1515" w:type="dxa"/>
            <w:tcBorders>
              <w:top w:val="single" w:sz="12" w:space="0" w:color="4472C4" w:themeColor="accent5"/>
              <w:left w:val="single" w:sz="12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2B5608F" w14:textId="77777777" w:rsidR="00A4468E" w:rsidRPr="00CB23B5" w:rsidRDefault="00A4468E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Delaware</w:t>
            </w:r>
          </w:p>
        </w:tc>
        <w:tc>
          <w:tcPr>
            <w:tcW w:w="33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34603D4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17" w:history="1">
              <w:r w:rsidR="00B3651B" w:rsidRPr="00B3651B">
                <w:rPr>
                  <w:rStyle w:val="Hyperlink"/>
                  <w:rFonts w:eastAsia="Times New Roman" w:cs="Times New Roman"/>
                  <w:szCs w:val="20"/>
                </w:rPr>
                <w:t>Delaware Forest Service</w:t>
              </w:r>
            </w:hyperlink>
            <w:r w:rsidR="00B3651B">
              <w:rPr>
                <w:rFonts w:eastAsia="Times New Roman" w:cs="Times New Roman"/>
                <w:color w:val="0563C1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00D8022" w14:textId="77777777" w:rsidR="00A4468E" w:rsidRPr="00CB23B5" w:rsidRDefault="009C3F76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Marcia Fox</w:t>
            </w:r>
          </w:p>
        </w:tc>
        <w:tc>
          <w:tcPr>
            <w:tcW w:w="3634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0F977F5" w14:textId="77777777" w:rsidR="00A4468E" w:rsidRPr="00CB23B5" w:rsidRDefault="00CB23B5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r w:rsidRPr="00CB23B5">
              <w:rPr>
                <w:rFonts w:eastAsia="Times New Roman" w:cs="Times New Roman"/>
                <w:color w:val="0563C1"/>
                <w:szCs w:val="20"/>
              </w:rPr>
              <w:t>marcia.fox@state.de.us</w:t>
            </w:r>
          </w:p>
        </w:tc>
      </w:tr>
      <w:tr w:rsidR="00D01311" w:rsidRPr="00EB1AA9" w14:paraId="406B121C" w14:textId="77777777" w:rsidTr="00853A7B">
        <w:trPr>
          <w:trHeight w:val="249"/>
        </w:trPr>
        <w:tc>
          <w:tcPr>
            <w:tcW w:w="1515" w:type="dxa"/>
            <w:tcBorders>
              <w:top w:val="single" w:sz="12" w:space="0" w:color="4472C4" w:themeColor="accent5"/>
              <w:left w:val="single" w:sz="12" w:space="0" w:color="auto"/>
              <w:bottom w:val="single" w:sz="12" w:space="0" w:color="4472C4" w:themeColor="accent5"/>
              <w:right w:val="single" w:sz="4" w:space="0" w:color="auto"/>
            </w:tcBorders>
            <w:noWrap/>
            <w:hideMark/>
          </w:tcPr>
          <w:p w14:paraId="1ED54B56" w14:textId="77777777" w:rsidR="00A4468E" w:rsidRPr="00CB23B5" w:rsidRDefault="00A4468E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D.C.</w:t>
            </w:r>
          </w:p>
        </w:tc>
        <w:tc>
          <w:tcPr>
            <w:tcW w:w="33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noWrap/>
          </w:tcPr>
          <w:p w14:paraId="77B7E54D" w14:textId="77777777" w:rsidR="00A4468E" w:rsidRPr="00CB23B5" w:rsidRDefault="00853A7B" w:rsidP="00B3651B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18" w:history="1">
              <w:r w:rsidR="00B3651B" w:rsidRPr="00500BFD">
                <w:rPr>
                  <w:rStyle w:val="Hyperlink"/>
                  <w:rFonts w:eastAsia="Times New Roman" w:cs="Times New Roman"/>
                  <w:szCs w:val="20"/>
                </w:rPr>
                <w:t>DOEE – Tree</w:t>
              </w:r>
              <w:r w:rsidR="00500BFD" w:rsidRPr="00500BFD">
                <w:rPr>
                  <w:rStyle w:val="Hyperlink"/>
                  <w:rFonts w:eastAsia="Times New Roman" w:cs="Times New Roman"/>
                  <w:szCs w:val="20"/>
                </w:rPr>
                <w:t>s in the District</w:t>
              </w:r>
            </w:hyperlink>
          </w:p>
        </w:tc>
        <w:tc>
          <w:tcPr>
            <w:tcW w:w="24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noWrap/>
          </w:tcPr>
          <w:p w14:paraId="64E4AA9D" w14:textId="77777777" w:rsidR="00A4468E" w:rsidRPr="00CB23B5" w:rsidRDefault="009C3F76" w:rsidP="002D0AEE">
            <w:pPr>
              <w:rPr>
                <w:rFonts w:eastAsia="Times New Roman" w:cs="Times New Roman"/>
                <w:szCs w:val="20"/>
              </w:rPr>
            </w:pPr>
            <w:r w:rsidRPr="00CB23B5">
              <w:rPr>
                <w:rFonts w:eastAsia="Times New Roman" w:cs="Times New Roman"/>
                <w:szCs w:val="20"/>
              </w:rPr>
              <w:t>Luke Cole</w:t>
            </w:r>
          </w:p>
        </w:tc>
        <w:tc>
          <w:tcPr>
            <w:tcW w:w="3634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12" w:space="0" w:color="auto"/>
            </w:tcBorders>
            <w:noWrap/>
          </w:tcPr>
          <w:p w14:paraId="33723BC0" w14:textId="77777777" w:rsidR="00A4468E" w:rsidRPr="00CB23B5" w:rsidRDefault="00CB23B5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r w:rsidRPr="00CB23B5">
              <w:rPr>
                <w:rFonts w:eastAsia="Times New Roman" w:cs="Times New Roman"/>
                <w:color w:val="0563C1"/>
                <w:szCs w:val="20"/>
              </w:rPr>
              <w:t>luke.cole@dc.gov</w:t>
            </w:r>
          </w:p>
        </w:tc>
      </w:tr>
      <w:tr w:rsidR="002D0AEE" w:rsidRPr="00EB1AA9" w14:paraId="2B97A38D" w14:textId="77777777" w:rsidTr="00853A7B">
        <w:trPr>
          <w:trHeight w:val="231"/>
        </w:trPr>
        <w:tc>
          <w:tcPr>
            <w:tcW w:w="1515" w:type="dxa"/>
            <w:tcBorders>
              <w:top w:val="single" w:sz="12" w:space="0" w:color="4472C4" w:themeColor="accent5"/>
              <w:left w:val="single" w:sz="12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A2A272" w14:textId="77777777" w:rsidR="00A4468E" w:rsidRPr="00CB23B5" w:rsidRDefault="00A4468E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Maryland</w:t>
            </w:r>
          </w:p>
        </w:tc>
        <w:tc>
          <w:tcPr>
            <w:tcW w:w="33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83EED4C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19" w:history="1">
              <w:r w:rsidR="00500BFD" w:rsidRPr="00500BFD">
                <w:rPr>
                  <w:rStyle w:val="Hyperlink"/>
                  <w:rFonts w:eastAsia="Times New Roman" w:cs="Times New Roman"/>
                  <w:szCs w:val="20"/>
                </w:rPr>
                <w:t xml:space="preserve">MD </w:t>
              </w:r>
              <w:r w:rsidR="00B3651B" w:rsidRPr="00500BFD">
                <w:rPr>
                  <w:rStyle w:val="Hyperlink"/>
                  <w:rFonts w:eastAsia="Times New Roman" w:cs="Times New Roman"/>
                  <w:szCs w:val="20"/>
                </w:rPr>
                <w:t>Forest Service</w:t>
              </w:r>
              <w:r w:rsidR="00500BFD" w:rsidRPr="00500BFD">
                <w:rPr>
                  <w:rStyle w:val="Hyperlink"/>
                  <w:rFonts w:eastAsia="Times New Roman" w:cs="Times New Roman"/>
                  <w:szCs w:val="20"/>
                </w:rPr>
                <w:t xml:space="preserve"> Buffer Initiative</w:t>
              </w:r>
            </w:hyperlink>
            <w:r w:rsidR="00500BFD">
              <w:rPr>
                <w:rFonts w:eastAsia="Times New Roman" w:cs="Times New Roman"/>
                <w:color w:val="0563C1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1223614" w14:textId="77777777" w:rsidR="00A4468E" w:rsidRPr="00CB23B5" w:rsidRDefault="009C3F76" w:rsidP="002D0AEE">
            <w:pPr>
              <w:rPr>
                <w:rFonts w:eastAsia="Times New Roman" w:cs="Times New Roman"/>
                <w:szCs w:val="20"/>
              </w:rPr>
            </w:pPr>
            <w:r w:rsidRPr="00CB23B5">
              <w:rPr>
                <w:rFonts w:eastAsia="Times New Roman" w:cs="Times New Roman"/>
                <w:szCs w:val="20"/>
              </w:rPr>
              <w:t>Anne Hairston-Strang</w:t>
            </w:r>
          </w:p>
        </w:tc>
        <w:tc>
          <w:tcPr>
            <w:tcW w:w="3634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48818351" w14:textId="03697EA2" w:rsidR="00A4468E" w:rsidRPr="00853A7B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20" w:history="1">
              <w:r w:rsidRPr="00853A7B">
                <w:rPr>
                  <w:rStyle w:val="Hyperlink"/>
                  <w:u w:val="none"/>
                </w:rPr>
                <w:t>Anne.Hairston-Strang@maryland.gov</w:t>
              </w:r>
            </w:hyperlink>
            <w:r w:rsidRPr="00853A7B">
              <w:t xml:space="preserve"> </w:t>
            </w:r>
          </w:p>
        </w:tc>
      </w:tr>
      <w:tr w:rsidR="00D01311" w:rsidRPr="00EB1AA9" w14:paraId="338DE2C3" w14:textId="77777777" w:rsidTr="00853A7B">
        <w:trPr>
          <w:trHeight w:val="231"/>
        </w:trPr>
        <w:tc>
          <w:tcPr>
            <w:tcW w:w="1515" w:type="dxa"/>
            <w:tcBorders>
              <w:top w:val="single" w:sz="12" w:space="0" w:color="4472C4" w:themeColor="accent5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2BFD" w14:textId="77777777" w:rsidR="00A4468E" w:rsidRPr="00CB23B5" w:rsidRDefault="00A4468E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New York</w:t>
            </w:r>
          </w:p>
        </w:tc>
        <w:tc>
          <w:tcPr>
            <w:tcW w:w="3330" w:type="dxa"/>
            <w:tcBorders>
              <w:top w:val="single" w:sz="12" w:space="0" w:color="4472C4" w:themeColor="accent5"/>
              <w:left w:val="single" w:sz="4" w:space="0" w:color="auto"/>
              <w:right w:val="single" w:sz="4" w:space="0" w:color="auto"/>
            </w:tcBorders>
            <w:noWrap/>
          </w:tcPr>
          <w:p w14:paraId="4B268BF6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21" w:history="1">
              <w:r w:rsidR="00500BFD" w:rsidRPr="00500BFD">
                <w:rPr>
                  <w:rStyle w:val="Hyperlink"/>
                  <w:rFonts w:eastAsia="Times New Roman" w:cs="Times New Roman"/>
                  <w:szCs w:val="20"/>
                </w:rPr>
                <w:t>NYDEC Riparian Buffers</w:t>
              </w:r>
            </w:hyperlink>
          </w:p>
        </w:tc>
        <w:tc>
          <w:tcPr>
            <w:tcW w:w="2430" w:type="dxa"/>
            <w:tcBorders>
              <w:top w:val="single" w:sz="12" w:space="0" w:color="4472C4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42A5F" w14:textId="77777777" w:rsidR="00A4468E" w:rsidRPr="00CB23B5" w:rsidRDefault="00A4468E" w:rsidP="002D0AEE">
            <w:pPr>
              <w:rPr>
                <w:rFonts w:eastAsia="Times New Roman" w:cs="Times New Roman"/>
                <w:szCs w:val="20"/>
              </w:rPr>
            </w:pPr>
            <w:r w:rsidRPr="00CB23B5">
              <w:rPr>
                <w:rFonts w:eastAsia="Times New Roman" w:cs="Times New Roman"/>
                <w:szCs w:val="20"/>
              </w:rPr>
              <w:t>Lauren Townley</w:t>
            </w:r>
          </w:p>
        </w:tc>
        <w:tc>
          <w:tcPr>
            <w:tcW w:w="3634" w:type="dxa"/>
            <w:tcBorders>
              <w:top w:val="single" w:sz="12" w:space="0" w:color="4472C4" w:themeColor="accent5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66A355D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22" w:history="1">
              <w:r w:rsidR="00A4468E" w:rsidRPr="00CB23B5">
                <w:rPr>
                  <w:rFonts w:eastAsia="Times New Roman" w:cs="Times New Roman"/>
                  <w:color w:val="0563C1"/>
                  <w:szCs w:val="20"/>
                </w:rPr>
                <w:t>lauren.townley@dec.ny.gov</w:t>
              </w:r>
            </w:hyperlink>
          </w:p>
        </w:tc>
      </w:tr>
      <w:tr w:rsidR="00D01311" w:rsidRPr="00EB1AA9" w14:paraId="4BE640E7" w14:textId="77777777" w:rsidTr="00853A7B">
        <w:trPr>
          <w:trHeight w:val="240"/>
        </w:trPr>
        <w:tc>
          <w:tcPr>
            <w:tcW w:w="1515" w:type="dxa"/>
            <w:tcBorders>
              <w:top w:val="single" w:sz="12" w:space="0" w:color="4472C4" w:themeColor="accent5"/>
              <w:left w:val="single" w:sz="12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5413299" w14:textId="77777777" w:rsidR="00A4468E" w:rsidRPr="00CB23B5" w:rsidRDefault="00A4468E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Pennsylvania</w:t>
            </w:r>
          </w:p>
        </w:tc>
        <w:tc>
          <w:tcPr>
            <w:tcW w:w="33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3EF6AB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23" w:history="1">
              <w:r w:rsidR="00500BFD" w:rsidRPr="00500BFD">
                <w:rPr>
                  <w:rStyle w:val="Hyperlink"/>
                  <w:rFonts w:eastAsia="Times New Roman" w:cs="Times New Roman"/>
                  <w:szCs w:val="20"/>
                </w:rPr>
                <w:t>PA DCNR Riparian Buffers</w:t>
              </w:r>
            </w:hyperlink>
            <w:r w:rsidR="00500BFD">
              <w:rPr>
                <w:rFonts w:eastAsia="Times New Roman" w:cs="Times New Roman"/>
                <w:color w:val="0563C1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789C4DB" w14:textId="77777777" w:rsidR="00A4468E" w:rsidRPr="00CB23B5" w:rsidRDefault="009C3F76" w:rsidP="002D0AEE">
            <w:pPr>
              <w:rPr>
                <w:rFonts w:eastAsia="Times New Roman" w:cs="Times New Roman"/>
                <w:szCs w:val="20"/>
              </w:rPr>
            </w:pPr>
            <w:r w:rsidRPr="00CB23B5">
              <w:rPr>
                <w:rFonts w:eastAsia="Times New Roman" w:cs="Times New Roman"/>
                <w:szCs w:val="20"/>
              </w:rPr>
              <w:t>Matt Keefer</w:t>
            </w:r>
          </w:p>
        </w:tc>
        <w:tc>
          <w:tcPr>
            <w:tcW w:w="3634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4472C4" w:themeColor="accent5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3B51CB05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24" w:history="1">
              <w:r w:rsidR="009C3F76" w:rsidRPr="00CB23B5">
                <w:rPr>
                  <w:rStyle w:val="Hyperlink"/>
                  <w:rFonts w:cs="Arial"/>
                  <w:u w:val="none"/>
                  <w:lang w:val="en"/>
                </w:rPr>
                <w:t>makeefer@pa.gov</w:t>
              </w:r>
            </w:hyperlink>
          </w:p>
        </w:tc>
      </w:tr>
      <w:tr w:rsidR="00D01311" w:rsidRPr="00EB1AA9" w14:paraId="0E468F33" w14:textId="77777777" w:rsidTr="00853A7B">
        <w:trPr>
          <w:trHeight w:val="240"/>
        </w:trPr>
        <w:tc>
          <w:tcPr>
            <w:tcW w:w="1515" w:type="dxa"/>
            <w:tcBorders>
              <w:top w:val="single" w:sz="12" w:space="0" w:color="4472C4" w:themeColor="accent5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4BFB3" w14:textId="77777777" w:rsidR="00A4468E" w:rsidRPr="00CB23B5" w:rsidRDefault="00A4468E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Virginia</w:t>
            </w:r>
          </w:p>
        </w:tc>
        <w:tc>
          <w:tcPr>
            <w:tcW w:w="3330" w:type="dxa"/>
            <w:tcBorders>
              <w:top w:val="single" w:sz="12" w:space="0" w:color="4472C4" w:themeColor="accent5"/>
              <w:left w:val="single" w:sz="4" w:space="0" w:color="auto"/>
              <w:right w:val="single" w:sz="4" w:space="0" w:color="auto"/>
            </w:tcBorders>
            <w:noWrap/>
          </w:tcPr>
          <w:p w14:paraId="5D4B1170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25" w:history="1">
              <w:r w:rsidR="00500BFD" w:rsidRPr="00500BFD">
                <w:rPr>
                  <w:rStyle w:val="Hyperlink"/>
                  <w:rFonts w:eastAsia="Times New Roman" w:cs="Times New Roman"/>
                  <w:szCs w:val="20"/>
                </w:rPr>
                <w:t>VA DOF Riparian Forest Buffers</w:t>
              </w:r>
            </w:hyperlink>
          </w:p>
        </w:tc>
        <w:tc>
          <w:tcPr>
            <w:tcW w:w="2430" w:type="dxa"/>
            <w:tcBorders>
              <w:top w:val="single" w:sz="12" w:space="0" w:color="4472C4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8E69B" w14:textId="3C590F64" w:rsidR="00A4468E" w:rsidRPr="00CB23B5" w:rsidRDefault="00A4468E" w:rsidP="002D0AEE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3634" w:type="dxa"/>
            <w:tcBorders>
              <w:top w:val="single" w:sz="12" w:space="0" w:color="4472C4" w:themeColor="accent5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8E397E2" w14:textId="3FB04C9D" w:rsidR="00A4468E" w:rsidRPr="00CB23B5" w:rsidRDefault="00A4468E" w:rsidP="002D0AEE">
            <w:pPr>
              <w:rPr>
                <w:rFonts w:eastAsia="Times New Roman" w:cs="Times New Roman"/>
                <w:color w:val="0563C1"/>
                <w:szCs w:val="20"/>
              </w:rPr>
            </w:pPr>
          </w:p>
        </w:tc>
      </w:tr>
      <w:tr w:rsidR="00D01311" w:rsidRPr="00EB1AA9" w14:paraId="5575A889" w14:textId="77777777" w:rsidTr="00853A7B">
        <w:trPr>
          <w:trHeight w:val="249"/>
        </w:trPr>
        <w:tc>
          <w:tcPr>
            <w:tcW w:w="1515" w:type="dxa"/>
            <w:tcBorders>
              <w:top w:val="single" w:sz="12" w:space="0" w:color="4472C4" w:themeColor="accent5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3F03FB0" w14:textId="77777777" w:rsidR="00A4468E" w:rsidRPr="00CB23B5" w:rsidRDefault="00A4468E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West Virginia</w:t>
            </w:r>
          </w:p>
        </w:tc>
        <w:tc>
          <w:tcPr>
            <w:tcW w:w="3330" w:type="dxa"/>
            <w:tcBorders>
              <w:top w:val="single" w:sz="12" w:space="0" w:color="4472C4" w:themeColor="accent5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2C82A90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26" w:history="1">
              <w:r w:rsidR="00500BFD" w:rsidRPr="00500BFD">
                <w:rPr>
                  <w:rStyle w:val="Hyperlink"/>
                  <w:rFonts w:eastAsia="Times New Roman" w:cs="Times New Roman"/>
                  <w:szCs w:val="20"/>
                </w:rPr>
                <w:t>WV Chesapeake Bay Forestry</w:t>
              </w:r>
            </w:hyperlink>
            <w:r w:rsidR="00500BFD">
              <w:rPr>
                <w:rFonts w:eastAsia="Times New Roman" w:cs="Times New Roman"/>
                <w:color w:val="0563C1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12" w:space="0" w:color="4472C4" w:themeColor="accent5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415B82C" w14:textId="77777777" w:rsidR="00A4468E" w:rsidRPr="00CB23B5" w:rsidRDefault="009C3F76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Herb Peddicord</w:t>
            </w:r>
          </w:p>
        </w:tc>
        <w:tc>
          <w:tcPr>
            <w:tcW w:w="3634" w:type="dxa"/>
            <w:tcBorders>
              <w:top w:val="single" w:sz="12" w:space="0" w:color="4472C4" w:themeColor="accent5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50472C27" w14:textId="77777777" w:rsidR="00A4468E" w:rsidRPr="00CB23B5" w:rsidRDefault="00853A7B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hyperlink r:id="rId27" w:history="1">
              <w:r w:rsidR="009C3F76" w:rsidRPr="00CB23B5">
                <w:rPr>
                  <w:rStyle w:val="Hyperlink"/>
                  <w:rFonts w:cs="Arial"/>
                  <w:u w:val="none"/>
                  <w:lang w:val="en"/>
                </w:rPr>
                <w:t>herb.f.peddicord@wv.gov</w:t>
              </w:r>
            </w:hyperlink>
          </w:p>
        </w:tc>
      </w:tr>
      <w:tr w:rsidR="00520F0E" w:rsidRPr="00EB1AA9" w14:paraId="094A70B1" w14:textId="77777777" w:rsidTr="00853A7B">
        <w:trPr>
          <w:trHeight w:val="360"/>
        </w:trPr>
        <w:tc>
          <w:tcPr>
            <w:tcW w:w="1515" w:type="dxa"/>
            <w:tcBorders>
              <w:top w:val="single" w:sz="12" w:space="0" w:color="4472C4" w:themeColor="accent5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DCF7DD7" w14:textId="77777777" w:rsidR="00520F0E" w:rsidRPr="00CB23B5" w:rsidRDefault="00520F0E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CBP Contact</w:t>
            </w:r>
          </w:p>
        </w:tc>
        <w:tc>
          <w:tcPr>
            <w:tcW w:w="33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1B746D" w14:textId="77777777" w:rsidR="00520F0E" w:rsidRPr="00CB23B5" w:rsidRDefault="00853A7B" w:rsidP="002D0AEE">
            <w:pPr>
              <w:rPr>
                <w:szCs w:val="20"/>
              </w:rPr>
            </w:pPr>
            <w:hyperlink r:id="rId28" w:history="1">
              <w:r w:rsidR="00500BFD" w:rsidRPr="00500BFD">
                <w:rPr>
                  <w:rStyle w:val="Hyperlink"/>
                  <w:szCs w:val="20"/>
                </w:rPr>
                <w:t>CBP Forestry Workgroup</w:t>
              </w:r>
            </w:hyperlink>
          </w:p>
        </w:tc>
        <w:tc>
          <w:tcPr>
            <w:tcW w:w="2430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4E52D7" w14:textId="77777777" w:rsidR="00520F0E" w:rsidRPr="00CB23B5" w:rsidRDefault="009C3F76" w:rsidP="002D0AEE">
            <w:pPr>
              <w:rPr>
                <w:rFonts w:eastAsia="Times New Roman" w:cs="Times New Roman"/>
                <w:color w:val="000000"/>
                <w:szCs w:val="20"/>
              </w:rPr>
            </w:pPr>
            <w:r w:rsidRPr="00CB23B5">
              <w:rPr>
                <w:rFonts w:eastAsia="Times New Roman" w:cs="Times New Roman"/>
                <w:color w:val="000000"/>
                <w:szCs w:val="20"/>
              </w:rPr>
              <w:t>Sally Claggett</w:t>
            </w:r>
          </w:p>
        </w:tc>
        <w:tc>
          <w:tcPr>
            <w:tcW w:w="3634" w:type="dxa"/>
            <w:tcBorders>
              <w:top w:val="single" w:sz="12" w:space="0" w:color="4472C4" w:themeColor="accent5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CCC265" w14:textId="77777777" w:rsidR="00CB23B5" w:rsidRPr="00CB23B5" w:rsidRDefault="00CB23B5" w:rsidP="002D0AEE">
            <w:pPr>
              <w:rPr>
                <w:rFonts w:eastAsia="Times New Roman" w:cs="Times New Roman"/>
                <w:color w:val="0563C1"/>
                <w:szCs w:val="20"/>
              </w:rPr>
            </w:pPr>
            <w:r w:rsidRPr="00CB23B5">
              <w:rPr>
                <w:rFonts w:eastAsia="Times New Roman" w:cs="Times New Roman"/>
                <w:color w:val="0563C1"/>
                <w:szCs w:val="20"/>
              </w:rPr>
              <w:t>sclaggett@fs.fed.us</w:t>
            </w:r>
          </w:p>
        </w:tc>
      </w:tr>
    </w:tbl>
    <w:p w14:paraId="07D1DB2B" w14:textId="77777777" w:rsidR="00A4468E" w:rsidRPr="00EB1AA9" w:rsidRDefault="00A4468E" w:rsidP="002D0AEE">
      <w:pPr>
        <w:widowControl w:val="0"/>
        <w:tabs>
          <w:tab w:val="left" w:pos="1515"/>
          <w:tab w:val="left" w:pos="1628"/>
          <w:tab w:val="left" w:pos="2630"/>
        </w:tabs>
        <w:spacing w:after="0" w:line="240" w:lineRule="auto"/>
        <w:rPr>
          <w:rFonts w:eastAsia="Cambria" w:cs="Cambria"/>
          <w:bCs/>
          <w:sz w:val="20"/>
          <w:szCs w:val="20"/>
        </w:rPr>
      </w:pPr>
    </w:p>
    <w:sectPr w:rsidR="00A4468E" w:rsidRPr="00EB1AA9" w:rsidSect="00AF0409">
      <w:pgSz w:w="12240" w:h="15840"/>
      <w:pgMar w:top="144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875B6" w14:textId="77777777" w:rsidR="00DE5D42" w:rsidRDefault="00DE5D42" w:rsidP="00EA1380">
      <w:pPr>
        <w:spacing w:after="0" w:line="240" w:lineRule="auto"/>
      </w:pPr>
      <w:r>
        <w:separator/>
      </w:r>
    </w:p>
  </w:endnote>
  <w:endnote w:type="continuationSeparator" w:id="0">
    <w:p w14:paraId="328F3CF7" w14:textId="77777777" w:rsidR="00DE5D42" w:rsidRDefault="00DE5D42" w:rsidP="00EA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kChampa">
    <w:altName w:val="Microsoft Sans Serif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DDEAD" w14:textId="77777777" w:rsidR="00DE5D42" w:rsidRDefault="00DE5D42" w:rsidP="00EA1380">
      <w:pPr>
        <w:spacing w:after="0" w:line="240" w:lineRule="auto"/>
      </w:pPr>
      <w:r>
        <w:separator/>
      </w:r>
    </w:p>
  </w:footnote>
  <w:footnote w:type="continuationSeparator" w:id="0">
    <w:p w14:paraId="1801C1D9" w14:textId="77777777" w:rsidR="00DE5D42" w:rsidRDefault="00DE5D42" w:rsidP="00EA1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C7"/>
    <w:multiLevelType w:val="hybridMultilevel"/>
    <w:tmpl w:val="77CC4254"/>
    <w:lvl w:ilvl="0" w:tplc="EAAED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4D8A"/>
    <w:multiLevelType w:val="hybridMultilevel"/>
    <w:tmpl w:val="75D621A8"/>
    <w:lvl w:ilvl="0" w:tplc="584A7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712E"/>
    <w:multiLevelType w:val="hybridMultilevel"/>
    <w:tmpl w:val="FEA21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5C289A"/>
    <w:multiLevelType w:val="hybridMultilevel"/>
    <w:tmpl w:val="B846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E6C2A"/>
    <w:multiLevelType w:val="hybridMultilevel"/>
    <w:tmpl w:val="BD226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13277"/>
    <w:multiLevelType w:val="hybridMultilevel"/>
    <w:tmpl w:val="625C0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94ED0"/>
    <w:multiLevelType w:val="hybridMultilevel"/>
    <w:tmpl w:val="55C0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C23B1"/>
    <w:multiLevelType w:val="hybridMultilevel"/>
    <w:tmpl w:val="FCBC8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7630F"/>
    <w:multiLevelType w:val="hybridMultilevel"/>
    <w:tmpl w:val="F6E8C226"/>
    <w:lvl w:ilvl="0" w:tplc="AE188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6622A"/>
    <w:multiLevelType w:val="hybridMultilevel"/>
    <w:tmpl w:val="780C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F7578"/>
    <w:multiLevelType w:val="hybridMultilevel"/>
    <w:tmpl w:val="13AC1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31653"/>
    <w:multiLevelType w:val="hybridMultilevel"/>
    <w:tmpl w:val="3F4A6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B0BE1"/>
    <w:multiLevelType w:val="hybridMultilevel"/>
    <w:tmpl w:val="DBA857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D0BAB"/>
    <w:multiLevelType w:val="hybridMultilevel"/>
    <w:tmpl w:val="C23C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E2F33"/>
    <w:multiLevelType w:val="hybridMultilevel"/>
    <w:tmpl w:val="13AC1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25EBF"/>
    <w:multiLevelType w:val="hybridMultilevel"/>
    <w:tmpl w:val="4350E78A"/>
    <w:lvl w:ilvl="0" w:tplc="32EE27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E3A21"/>
    <w:multiLevelType w:val="hybridMultilevel"/>
    <w:tmpl w:val="8EFE5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70E9"/>
    <w:multiLevelType w:val="hybridMultilevel"/>
    <w:tmpl w:val="E9FC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0617B"/>
    <w:multiLevelType w:val="hybridMultilevel"/>
    <w:tmpl w:val="DB1A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25BB4"/>
    <w:multiLevelType w:val="hybridMultilevel"/>
    <w:tmpl w:val="AAA02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EC5EE7"/>
    <w:multiLevelType w:val="hybridMultilevel"/>
    <w:tmpl w:val="66BA6F4C"/>
    <w:lvl w:ilvl="0" w:tplc="909C2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3"/>
  </w:num>
  <w:num w:numId="5">
    <w:abstractNumId w:val="16"/>
  </w:num>
  <w:num w:numId="6">
    <w:abstractNumId w:val="2"/>
  </w:num>
  <w:num w:numId="7">
    <w:abstractNumId w:val="19"/>
  </w:num>
  <w:num w:numId="8">
    <w:abstractNumId w:val="4"/>
  </w:num>
  <w:num w:numId="9">
    <w:abstractNumId w:val="0"/>
  </w:num>
  <w:num w:numId="10">
    <w:abstractNumId w:val="6"/>
  </w:num>
  <w:num w:numId="11">
    <w:abstractNumId w:val="20"/>
  </w:num>
  <w:num w:numId="12">
    <w:abstractNumId w:val="11"/>
  </w:num>
  <w:num w:numId="13">
    <w:abstractNumId w:val="0"/>
  </w:num>
  <w:num w:numId="14">
    <w:abstractNumId w:val="20"/>
  </w:num>
  <w:num w:numId="15">
    <w:abstractNumId w:val="6"/>
  </w:num>
  <w:num w:numId="16">
    <w:abstractNumId w:val="8"/>
  </w:num>
  <w:num w:numId="17">
    <w:abstractNumId w:val="0"/>
  </w:num>
  <w:num w:numId="18">
    <w:abstractNumId w:val="20"/>
  </w:num>
  <w:num w:numId="19">
    <w:abstractNumId w:val="12"/>
  </w:num>
  <w:num w:numId="20">
    <w:abstractNumId w:val="15"/>
  </w:num>
  <w:num w:numId="21">
    <w:abstractNumId w:val="1"/>
  </w:num>
  <w:num w:numId="22">
    <w:abstractNumId w:val="14"/>
  </w:num>
  <w:num w:numId="23">
    <w:abstractNumId w:val="10"/>
  </w:num>
  <w:num w:numId="24">
    <w:abstractNumId w:val="13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BB"/>
    <w:rsid w:val="000908B1"/>
    <w:rsid w:val="00090EBE"/>
    <w:rsid w:val="000C5E0D"/>
    <w:rsid w:val="00130178"/>
    <w:rsid w:val="0013341B"/>
    <w:rsid w:val="001B435E"/>
    <w:rsid w:val="001C2271"/>
    <w:rsid w:val="001C5574"/>
    <w:rsid w:val="001D31C6"/>
    <w:rsid w:val="0020095B"/>
    <w:rsid w:val="00214A8A"/>
    <w:rsid w:val="00216E9C"/>
    <w:rsid w:val="00234D86"/>
    <w:rsid w:val="00282C8E"/>
    <w:rsid w:val="0028716C"/>
    <w:rsid w:val="002B149D"/>
    <w:rsid w:val="002D0AEE"/>
    <w:rsid w:val="002F4FD6"/>
    <w:rsid w:val="002F7651"/>
    <w:rsid w:val="00325A61"/>
    <w:rsid w:val="00336B6C"/>
    <w:rsid w:val="00337783"/>
    <w:rsid w:val="0034277F"/>
    <w:rsid w:val="00344B6E"/>
    <w:rsid w:val="00346658"/>
    <w:rsid w:val="0036243E"/>
    <w:rsid w:val="003704FB"/>
    <w:rsid w:val="00372147"/>
    <w:rsid w:val="003872DB"/>
    <w:rsid w:val="00395216"/>
    <w:rsid w:val="00397385"/>
    <w:rsid w:val="003A46B3"/>
    <w:rsid w:val="003B3181"/>
    <w:rsid w:val="003B6D8E"/>
    <w:rsid w:val="003D4AE0"/>
    <w:rsid w:val="003D5BB9"/>
    <w:rsid w:val="003E4434"/>
    <w:rsid w:val="003F10DA"/>
    <w:rsid w:val="0040737C"/>
    <w:rsid w:val="00434F3F"/>
    <w:rsid w:val="00445D76"/>
    <w:rsid w:val="00447ADE"/>
    <w:rsid w:val="00477070"/>
    <w:rsid w:val="00491DC2"/>
    <w:rsid w:val="004A10BD"/>
    <w:rsid w:val="004A4691"/>
    <w:rsid w:val="004B2AF3"/>
    <w:rsid w:val="004C187D"/>
    <w:rsid w:val="00500BFD"/>
    <w:rsid w:val="0050283E"/>
    <w:rsid w:val="00520F0E"/>
    <w:rsid w:val="005511F0"/>
    <w:rsid w:val="0055745D"/>
    <w:rsid w:val="005601EA"/>
    <w:rsid w:val="005975D4"/>
    <w:rsid w:val="005C4436"/>
    <w:rsid w:val="005D5B8A"/>
    <w:rsid w:val="005E684C"/>
    <w:rsid w:val="00605EB1"/>
    <w:rsid w:val="00606B7D"/>
    <w:rsid w:val="00643AB4"/>
    <w:rsid w:val="00644F21"/>
    <w:rsid w:val="00696158"/>
    <w:rsid w:val="006C175C"/>
    <w:rsid w:val="006C58C8"/>
    <w:rsid w:val="006D43CC"/>
    <w:rsid w:val="00702981"/>
    <w:rsid w:val="007145D5"/>
    <w:rsid w:val="007339BE"/>
    <w:rsid w:val="00797796"/>
    <w:rsid w:val="007D45E4"/>
    <w:rsid w:val="00802CC6"/>
    <w:rsid w:val="00844B2C"/>
    <w:rsid w:val="00853A7B"/>
    <w:rsid w:val="008555CD"/>
    <w:rsid w:val="008775B2"/>
    <w:rsid w:val="008E48D3"/>
    <w:rsid w:val="008E6844"/>
    <w:rsid w:val="008F47AD"/>
    <w:rsid w:val="00915F3B"/>
    <w:rsid w:val="00934F85"/>
    <w:rsid w:val="009454B1"/>
    <w:rsid w:val="00954EEE"/>
    <w:rsid w:val="009733DE"/>
    <w:rsid w:val="00982A1A"/>
    <w:rsid w:val="009A1F51"/>
    <w:rsid w:val="009C3AD1"/>
    <w:rsid w:val="009C3F76"/>
    <w:rsid w:val="009D12C2"/>
    <w:rsid w:val="009D3B03"/>
    <w:rsid w:val="009E33F8"/>
    <w:rsid w:val="009E733C"/>
    <w:rsid w:val="00A04F4A"/>
    <w:rsid w:val="00A23134"/>
    <w:rsid w:val="00A43061"/>
    <w:rsid w:val="00A4468E"/>
    <w:rsid w:val="00A44E16"/>
    <w:rsid w:val="00A47BBB"/>
    <w:rsid w:val="00A634A8"/>
    <w:rsid w:val="00A652FA"/>
    <w:rsid w:val="00A839A2"/>
    <w:rsid w:val="00AA2E89"/>
    <w:rsid w:val="00AB4C69"/>
    <w:rsid w:val="00AC48F9"/>
    <w:rsid w:val="00AF0409"/>
    <w:rsid w:val="00AF2FB9"/>
    <w:rsid w:val="00AF3A3D"/>
    <w:rsid w:val="00AF7ABB"/>
    <w:rsid w:val="00B20FD4"/>
    <w:rsid w:val="00B330D4"/>
    <w:rsid w:val="00B3611D"/>
    <w:rsid w:val="00B3651B"/>
    <w:rsid w:val="00B46EAA"/>
    <w:rsid w:val="00B51155"/>
    <w:rsid w:val="00B92645"/>
    <w:rsid w:val="00BC2F06"/>
    <w:rsid w:val="00C2518F"/>
    <w:rsid w:val="00C3605B"/>
    <w:rsid w:val="00C56124"/>
    <w:rsid w:val="00CA0F47"/>
    <w:rsid w:val="00CA26F4"/>
    <w:rsid w:val="00CB23B5"/>
    <w:rsid w:val="00CE7390"/>
    <w:rsid w:val="00CF66FF"/>
    <w:rsid w:val="00D01311"/>
    <w:rsid w:val="00D03849"/>
    <w:rsid w:val="00D121B3"/>
    <w:rsid w:val="00D32B43"/>
    <w:rsid w:val="00D45B43"/>
    <w:rsid w:val="00D65F97"/>
    <w:rsid w:val="00DE5D42"/>
    <w:rsid w:val="00DF7B6C"/>
    <w:rsid w:val="00E41F55"/>
    <w:rsid w:val="00E61FC5"/>
    <w:rsid w:val="00E76A52"/>
    <w:rsid w:val="00E836BB"/>
    <w:rsid w:val="00EA1380"/>
    <w:rsid w:val="00EA2FBB"/>
    <w:rsid w:val="00EB1AA9"/>
    <w:rsid w:val="00EC0B8F"/>
    <w:rsid w:val="00F3390A"/>
    <w:rsid w:val="00F97590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F25A"/>
  <w15:chartTrackingRefBased/>
  <w15:docId w15:val="{3DD5C4BB-008E-44F2-BB12-BE3C19E8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836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D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6A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6A5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6A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6A52"/>
    <w:rPr>
      <w:rFonts w:ascii="Arial" w:eastAsia="Times New Roman" w:hAnsi="Arial" w:cs="Arial"/>
      <w:vanish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A634A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C2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EA1380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1380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1380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A1380"/>
    <w:rPr>
      <w:i/>
      <w:iCs/>
    </w:rPr>
  </w:style>
  <w:style w:type="table" w:styleId="MediumShading2-Accent5">
    <w:name w:val="Medium Shading 2 Accent 5"/>
    <w:basedOn w:val="TableNormal"/>
    <w:uiPriority w:val="64"/>
    <w:rsid w:val="00EA138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A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80"/>
  </w:style>
  <w:style w:type="paragraph" w:styleId="Footer">
    <w:name w:val="footer"/>
    <w:basedOn w:val="Normal"/>
    <w:link w:val="FooterChar"/>
    <w:uiPriority w:val="99"/>
    <w:unhideWhenUsed/>
    <w:rsid w:val="00EA1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80"/>
  </w:style>
  <w:style w:type="table" w:styleId="LightList">
    <w:name w:val="Light List"/>
    <w:basedOn w:val="TableNormal"/>
    <w:uiPriority w:val="61"/>
    <w:rsid w:val="00EA138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EA1380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Light">
    <w:name w:val="Grid Table Light"/>
    <w:basedOn w:val="TableNormal"/>
    <w:uiPriority w:val="40"/>
    <w:rsid w:val="00A446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A4"/>
    <w:uiPriority w:val="99"/>
    <w:rsid w:val="00643AB4"/>
    <w:rPr>
      <w:rFonts w:cs="Arial Narrow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F7AB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18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hesapeakebay.net/documents/WIP_Forestry_BMP_Packet_December_2017.pdf" TargetMode="External"/><Relationship Id="rId18" Type="http://schemas.openxmlformats.org/officeDocument/2006/relationships/hyperlink" Target="https://doee.dc.gov/node/1118761" TargetMode="External"/><Relationship Id="rId26" Type="http://schemas.openxmlformats.org/officeDocument/2006/relationships/hyperlink" Target="http://www.wvchesapeakebay.us/resources/forestry.cf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c.ny.gov/chemical/106345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s9yBjiUMn_kSKc5h04EHbNA-sy7vIxnA/view" TargetMode="External"/><Relationship Id="rId17" Type="http://schemas.openxmlformats.org/officeDocument/2006/relationships/hyperlink" Target="https://dda.delaware.gov/forestry/" TargetMode="External"/><Relationship Id="rId25" Type="http://schemas.openxmlformats.org/officeDocument/2006/relationships/hyperlink" Target="http://www.dof.virginia.gov/manage/riparian/introduction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esapeakebay.net/who/group/forestry_workgroup" TargetMode="External"/><Relationship Id="rId20" Type="http://schemas.openxmlformats.org/officeDocument/2006/relationships/hyperlink" Target="mailto:Anne.Hairston-Strang@maryland.go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apeakebay.net/channel_files/25159/draft_bmp_impact_scoring_report_-_20170421.pdf" TargetMode="External"/><Relationship Id="rId24" Type="http://schemas.openxmlformats.org/officeDocument/2006/relationships/hyperlink" Target="mailto:makeefer@pa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esapeakeforestbuffers.net/" TargetMode="External"/><Relationship Id="rId23" Type="http://schemas.openxmlformats.org/officeDocument/2006/relationships/hyperlink" Target="http://www.dcnr.pa.gov/Conservation/Water/RiparianBuffers/Pages/default.aspx" TargetMode="External"/><Relationship Id="rId28" Type="http://schemas.openxmlformats.org/officeDocument/2006/relationships/hyperlink" Target="https://www.chesapeakebay.net/who/group/forestry_workgroup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://dnr.maryland.gov/forests/Pages/programapps/ripfbi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sa.usda.gov/programs-and-services/conservation-programs/conservation-reserve-program/" TargetMode="External"/><Relationship Id="rId14" Type="http://schemas.openxmlformats.org/officeDocument/2006/relationships/hyperlink" Target="http://www.chesapeakebay.net/channel_files/25322/healthy_waters_forest_retention_-_final_report.pdf" TargetMode="External"/><Relationship Id="rId22" Type="http://schemas.openxmlformats.org/officeDocument/2006/relationships/hyperlink" Target="mailto:lauren.townley@dec.ny.gov" TargetMode="External"/><Relationship Id="rId27" Type="http://schemas.openxmlformats.org/officeDocument/2006/relationships/hyperlink" Target="mailto:herb.f.peddicord@wv.go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1B09-29B3-4A28-9FBA-F3DBACE5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Wares</dc:creator>
  <cp:keywords/>
  <dc:description/>
  <cp:lastModifiedBy>Katherine Wares</cp:lastModifiedBy>
  <cp:revision>2</cp:revision>
  <cp:lastPrinted>2017-09-25T14:42:00Z</cp:lastPrinted>
  <dcterms:created xsi:type="dcterms:W3CDTF">2018-02-07T14:43:00Z</dcterms:created>
  <dcterms:modified xsi:type="dcterms:W3CDTF">2018-02-07T14:43:00Z</dcterms:modified>
</cp:coreProperties>
</file>