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9E8" w:rsidRDefault="00C429E8"/>
    <w:p w:rsidR="00C429E8" w:rsidRDefault="00C429E8" w:rsidP="00C429E8">
      <w:pPr>
        <w:pStyle w:val="ListParagraph"/>
        <w:spacing w:line="240" w:lineRule="auto"/>
      </w:pPr>
    </w:p>
    <w:p w:rsidR="00920966" w:rsidRDefault="00920966" w:rsidP="00920966">
      <w:pPr>
        <w:spacing w:line="240" w:lineRule="auto"/>
      </w:pPr>
      <w:r w:rsidRPr="00920966">
        <w:rPr>
          <w:b/>
        </w:rPr>
        <w:t xml:space="preserve">CBP Governance and Goals Options for </w:t>
      </w:r>
      <w:r>
        <w:rPr>
          <w:b/>
        </w:rPr>
        <w:t xml:space="preserve">MB </w:t>
      </w:r>
      <w:r w:rsidRPr="00920966">
        <w:rPr>
          <w:b/>
        </w:rPr>
        <w:t xml:space="preserve">Consideration </w:t>
      </w:r>
    </w:p>
    <w:tbl>
      <w:tblPr>
        <w:tblStyle w:val="TableGrid"/>
        <w:tblpPr w:leftFromText="180" w:rightFromText="180" w:vertAnchor="text" w:tblpY="1"/>
        <w:tblOverlap w:val="never"/>
        <w:tblW w:w="0" w:type="auto"/>
        <w:tblInd w:w="468" w:type="dxa"/>
        <w:tblLook w:val="04A0"/>
      </w:tblPr>
      <w:tblGrid>
        <w:gridCol w:w="2059"/>
        <w:gridCol w:w="5524"/>
        <w:gridCol w:w="1525"/>
      </w:tblGrid>
      <w:tr w:rsidR="009C2F6E" w:rsidRPr="00920966" w:rsidTr="00BE00B3">
        <w:tc>
          <w:tcPr>
            <w:tcW w:w="9108" w:type="dxa"/>
            <w:gridSpan w:val="3"/>
            <w:shd w:val="clear" w:color="auto" w:fill="F2F2F2" w:themeFill="background1" w:themeFillShade="F2"/>
          </w:tcPr>
          <w:p w:rsidR="00244684" w:rsidRPr="00920966" w:rsidRDefault="00244684" w:rsidP="00BE00B3">
            <w:pPr>
              <w:contextualSpacing/>
              <w:rPr>
                <w:rFonts w:ascii="Times New Roman" w:hAnsi="Times New Roman" w:cs="Times New Roman"/>
                <w:b/>
                <w:color w:val="365F91" w:themeColor="accent1" w:themeShade="BF"/>
              </w:rPr>
            </w:pPr>
          </w:p>
          <w:p w:rsidR="009C2F6E" w:rsidRPr="00920966" w:rsidRDefault="009C2F6E" w:rsidP="00BE00B3">
            <w:pPr>
              <w:contextualSpacing/>
              <w:rPr>
                <w:rFonts w:ascii="Times New Roman" w:hAnsi="Times New Roman" w:cs="Times New Roman"/>
                <w:b/>
                <w:color w:val="365F91" w:themeColor="accent1" w:themeShade="BF"/>
              </w:rPr>
            </w:pPr>
            <w:r w:rsidRPr="00920966">
              <w:rPr>
                <w:rFonts w:ascii="Times New Roman" w:hAnsi="Times New Roman" w:cs="Times New Roman"/>
                <w:b/>
                <w:color w:val="365F91" w:themeColor="accent1" w:themeShade="BF"/>
              </w:rPr>
              <w:t>Options for CBP governing bodies/membership/voting privileges:</w:t>
            </w:r>
          </w:p>
        </w:tc>
      </w:tr>
      <w:tr w:rsidR="00BE00B3" w:rsidRPr="00920966" w:rsidTr="00BE00B3">
        <w:tc>
          <w:tcPr>
            <w:tcW w:w="9108" w:type="dxa"/>
            <w:gridSpan w:val="3"/>
            <w:shd w:val="clear" w:color="auto" w:fill="F2F2F2" w:themeFill="background1" w:themeFillShade="F2"/>
          </w:tcPr>
          <w:p w:rsidR="006444E8" w:rsidRPr="00920966" w:rsidRDefault="006444E8" w:rsidP="006444E8">
            <w:pPr>
              <w:rPr>
                <w:rFonts w:ascii="Times New Roman" w:hAnsi="Times New Roman" w:cs="Times New Roman"/>
                <w:bCs/>
                <w:u w:val="single"/>
              </w:rPr>
            </w:pPr>
            <w:r w:rsidRPr="00920966">
              <w:rPr>
                <w:rFonts w:ascii="Times New Roman" w:hAnsi="Times New Roman" w:cs="Times New Roman"/>
                <w:bCs/>
              </w:rPr>
              <w:t>Workgroup looked at possible changes to program structure and membership necessary to better define and differentiate the r</w:t>
            </w:r>
            <w:r w:rsidRPr="00920966">
              <w:rPr>
                <w:rFonts w:ascii="Times New Roman" w:hAnsi="Times New Roman" w:cs="Times New Roman"/>
              </w:rPr>
              <w:t xml:space="preserve">ole of GITs, Management Board, PSC and EC and appropriate partner representation.  </w:t>
            </w:r>
          </w:p>
          <w:p w:rsidR="00BE00B3" w:rsidRPr="00920966" w:rsidRDefault="00BE00B3" w:rsidP="00BE00B3">
            <w:pPr>
              <w:contextualSpacing/>
              <w:rPr>
                <w:rFonts w:ascii="Times New Roman" w:hAnsi="Times New Roman" w:cs="Times New Roman"/>
                <w:b/>
                <w:color w:val="365F91" w:themeColor="accent1" w:themeShade="BF"/>
              </w:rPr>
            </w:pPr>
          </w:p>
          <w:p w:rsidR="006444E8" w:rsidRPr="00920966" w:rsidRDefault="006444E8" w:rsidP="006444E8">
            <w:pPr>
              <w:rPr>
                <w:rFonts w:ascii="Times New Roman" w:hAnsi="Times New Roman" w:cs="Times New Roman"/>
                <w:i/>
              </w:rPr>
            </w:pPr>
            <w:r w:rsidRPr="00920966">
              <w:rPr>
                <w:rFonts w:ascii="Times New Roman" w:hAnsi="Times New Roman" w:cs="Times New Roman"/>
                <w:u w:val="single"/>
              </w:rPr>
              <w:t xml:space="preserve">Current Problems/Considerations: </w:t>
            </w:r>
            <w:r w:rsidRPr="00920966">
              <w:rPr>
                <w:rFonts w:ascii="Times New Roman" w:hAnsi="Times New Roman" w:cs="Times New Roman"/>
                <w:bCs/>
              </w:rPr>
              <w:t xml:space="preserve"> </w:t>
            </w:r>
            <w:r w:rsidRPr="00920966">
              <w:rPr>
                <w:rFonts w:ascii="Times New Roman" w:hAnsi="Times New Roman" w:cs="Times New Roman"/>
                <w:i/>
              </w:rPr>
              <w:t xml:space="preserve">Lack of clarity in role of the MB v. PSC.  At what levels should issues be decided?  Who gets to vote or weigh in on issues? Appropriate levels of participation on EC, PSC, MB, etc.   Who are members (Jurisdictions, federal agencies, local orgs, NGOs?)  Original signatories only? Who is a partner v. stakeholder? What does partnership confer and what are expectations/responsibilities?  What are the unique responsibilities and obligations of a partner?  </w:t>
            </w:r>
          </w:p>
          <w:p w:rsidR="001A6285" w:rsidRPr="00920966" w:rsidRDefault="001A6285" w:rsidP="00BE00B3">
            <w:pPr>
              <w:rPr>
                <w:rFonts w:ascii="Times New Roman" w:hAnsi="Times New Roman" w:cs="Times New Roman"/>
                <w:u w:val="single"/>
              </w:rPr>
            </w:pPr>
          </w:p>
          <w:p w:rsidR="006444E8" w:rsidRPr="00920966" w:rsidRDefault="006444E8" w:rsidP="00BE00B3">
            <w:pPr>
              <w:rPr>
                <w:rFonts w:ascii="Times New Roman" w:hAnsi="Times New Roman" w:cs="Times New Roman"/>
                <w:i/>
              </w:rPr>
            </w:pPr>
            <w:r w:rsidRPr="00920966">
              <w:rPr>
                <w:rFonts w:ascii="Times New Roman" w:hAnsi="Times New Roman" w:cs="Times New Roman"/>
                <w:u w:val="single"/>
              </w:rPr>
              <w:t>Solution should</w:t>
            </w:r>
            <w:r w:rsidR="004E2F7D" w:rsidRPr="00920966">
              <w:rPr>
                <w:rFonts w:ascii="Times New Roman" w:hAnsi="Times New Roman" w:cs="Times New Roman"/>
                <w:u w:val="single"/>
              </w:rPr>
              <w:t>:</w:t>
            </w:r>
            <w:r w:rsidR="004E2F7D" w:rsidRPr="00920966">
              <w:rPr>
                <w:rFonts w:ascii="Times New Roman" w:hAnsi="Times New Roman" w:cs="Times New Roman"/>
              </w:rPr>
              <w:t xml:space="preserve"> </w:t>
            </w:r>
            <w:r w:rsidR="004E2F7D" w:rsidRPr="00920966">
              <w:rPr>
                <w:rFonts w:ascii="Times New Roman" w:hAnsi="Times New Roman" w:cs="Times New Roman"/>
                <w:i/>
              </w:rPr>
              <w:t xml:space="preserve">Provide clarity in appropriate roles for each governing body, appropriate membership levels and levels of consideration of issues.  </w:t>
            </w:r>
          </w:p>
          <w:p w:rsidR="001A6285" w:rsidRPr="00920966" w:rsidRDefault="001A6285" w:rsidP="00BE00B3">
            <w:pPr>
              <w:contextualSpacing/>
              <w:rPr>
                <w:rFonts w:ascii="Times New Roman" w:hAnsi="Times New Roman" w:cs="Times New Roman"/>
                <w:b/>
                <w:color w:val="365F91" w:themeColor="accent1" w:themeShade="BF"/>
              </w:rPr>
            </w:pPr>
          </w:p>
        </w:tc>
      </w:tr>
      <w:tr w:rsidR="00AB2E1E" w:rsidRPr="00920966" w:rsidTr="00C415B2">
        <w:tc>
          <w:tcPr>
            <w:tcW w:w="1672" w:type="dxa"/>
            <w:shd w:val="clear" w:color="auto" w:fill="F2F2F2" w:themeFill="background1" w:themeFillShade="F2"/>
          </w:tcPr>
          <w:p w:rsidR="00920966" w:rsidRPr="00920966" w:rsidRDefault="000451DA" w:rsidP="00BE00B3">
            <w:pPr>
              <w:rPr>
                <w:rFonts w:ascii="Times New Roman" w:hAnsi="Times New Roman" w:cs="Times New Roman"/>
                <w:u w:val="single"/>
              </w:rPr>
            </w:pPr>
            <w:r>
              <w:rPr>
                <w:rFonts w:ascii="Times New Roman" w:hAnsi="Times New Roman" w:cs="Times New Roman"/>
                <w:u w:val="single"/>
              </w:rPr>
              <w:t>Notes:</w:t>
            </w:r>
          </w:p>
        </w:tc>
        <w:tc>
          <w:tcPr>
            <w:tcW w:w="7436" w:type="dxa"/>
            <w:gridSpan w:val="2"/>
            <w:shd w:val="clear" w:color="auto" w:fill="F2F2F2" w:themeFill="background1" w:themeFillShade="F2"/>
          </w:tcPr>
          <w:p w:rsidR="00AB2E1E" w:rsidRPr="00920966" w:rsidRDefault="00AB2E1E" w:rsidP="00BE00B3">
            <w:pPr>
              <w:rPr>
                <w:rFonts w:ascii="Times New Roman" w:hAnsi="Times New Roman" w:cs="Times New Roman"/>
                <w:u w:val="single"/>
              </w:rPr>
            </w:pPr>
            <w:r w:rsidRPr="00920966">
              <w:rPr>
                <w:rFonts w:ascii="Times New Roman" w:hAnsi="Times New Roman" w:cs="Times New Roman"/>
                <w:u w:val="single"/>
              </w:rPr>
              <w:t>Executive Council</w:t>
            </w:r>
            <w:r w:rsidR="00495BF1" w:rsidRPr="00920966">
              <w:rPr>
                <w:rFonts w:ascii="Times New Roman" w:hAnsi="Times New Roman" w:cs="Times New Roman"/>
                <w:u w:val="single"/>
              </w:rPr>
              <w:t xml:space="preserve"> Options</w:t>
            </w:r>
            <w:r w:rsidRPr="00920966">
              <w:rPr>
                <w:rFonts w:ascii="Times New Roman" w:hAnsi="Times New Roman" w:cs="Times New Roman"/>
                <w:u w:val="single"/>
              </w:rPr>
              <w:t xml:space="preserve"> </w:t>
            </w:r>
          </w:p>
          <w:p w:rsidR="00AB2E1E" w:rsidRPr="00920966" w:rsidRDefault="00AB2E1E" w:rsidP="00495BF1">
            <w:pPr>
              <w:rPr>
                <w:rFonts w:ascii="Times New Roman" w:hAnsi="Times New Roman" w:cs="Times New Roman"/>
                <w:sz w:val="20"/>
              </w:rPr>
            </w:pPr>
            <w:r w:rsidRPr="00920966">
              <w:rPr>
                <w:rFonts w:ascii="Times New Roman" w:hAnsi="Times New Roman" w:cs="Times New Roman"/>
                <w:sz w:val="20"/>
              </w:rPr>
              <w:t>(</w:t>
            </w:r>
            <w:proofErr w:type="gramStart"/>
            <w:r w:rsidRPr="00920966">
              <w:rPr>
                <w:rFonts w:ascii="Times New Roman" w:hAnsi="Times New Roman" w:cs="Times New Roman"/>
                <w:sz w:val="20"/>
              </w:rPr>
              <w:t>note</w:t>
            </w:r>
            <w:proofErr w:type="gramEnd"/>
            <w:r w:rsidRPr="00920966">
              <w:rPr>
                <w:rFonts w:ascii="Times New Roman" w:hAnsi="Times New Roman" w:cs="Times New Roman"/>
                <w:sz w:val="20"/>
              </w:rPr>
              <w:t>: Section 117 requires an executive committee; historically, though not specified, members have been at the most senior level for each member organization).</w:t>
            </w:r>
          </w:p>
          <w:p w:rsidR="00AB2E1E" w:rsidRPr="00920966" w:rsidRDefault="00AB2E1E" w:rsidP="00BE00B3">
            <w:pPr>
              <w:pStyle w:val="ListParagraph"/>
              <w:rPr>
                <w:sz w:val="22"/>
                <w:szCs w:val="22"/>
              </w:rPr>
            </w:pPr>
          </w:p>
          <w:p w:rsidR="00AB2E1E" w:rsidRPr="00920966" w:rsidRDefault="00AB2E1E" w:rsidP="004E2F7D">
            <w:pPr>
              <w:pStyle w:val="ListParagraph"/>
              <w:numPr>
                <w:ilvl w:val="0"/>
                <w:numId w:val="10"/>
              </w:numPr>
              <w:ind w:left="360"/>
              <w:rPr>
                <w:sz w:val="22"/>
                <w:szCs w:val="22"/>
              </w:rPr>
            </w:pPr>
            <w:r w:rsidRPr="00920966">
              <w:rPr>
                <w:sz w:val="22"/>
                <w:szCs w:val="22"/>
              </w:rPr>
              <w:t>Status quo— “full members” include: MD, VA, PA, DC, CBC, EPA (EPA as lead federal agency);  “participating partners” include DE, WV, NY (headwaters), other federal agencies on specific issues as appropriate; top level of all signatory members: Governors and DC Mayor, EPA Administrator, CBP chair</w:t>
            </w:r>
          </w:p>
          <w:p w:rsidR="00AB2E1E" w:rsidRPr="00920966" w:rsidRDefault="00AB2E1E" w:rsidP="004E2F7D">
            <w:pPr>
              <w:pStyle w:val="ListParagraph"/>
              <w:numPr>
                <w:ilvl w:val="1"/>
                <w:numId w:val="11"/>
              </w:numPr>
              <w:ind w:left="1080"/>
              <w:rPr>
                <w:i/>
                <w:sz w:val="22"/>
                <w:szCs w:val="22"/>
              </w:rPr>
            </w:pPr>
            <w:r w:rsidRPr="00920966">
              <w:rPr>
                <w:i/>
                <w:sz w:val="22"/>
                <w:szCs w:val="22"/>
              </w:rPr>
              <w:t>Pro – high visibility for issues, ensures issues are priority for implementation</w:t>
            </w:r>
          </w:p>
          <w:p w:rsidR="00AB2E1E" w:rsidRPr="00920966" w:rsidRDefault="00AB2E1E" w:rsidP="004E2F7D">
            <w:pPr>
              <w:pStyle w:val="ListParagraph"/>
              <w:numPr>
                <w:ilvl w:val="1"/>
                <w:numId w:val="11"/>
              </w:numPr>
              <w:ind w:left="1080"/>
              <w:rPr>
                <w:i/>
                <w:sz w:val="22"/>
                <w:szCs w:val="22"/>
              </w:rPr>
            </w:pPr>
            <w:r w:rsidRPr="00920966">
              <w:rPr>
                <w:i/>
                <w:sz w:val="22"/>
                <w:szCs w:val="22"/>
              </w:rPr>
              <w:t>Con –meets only once a year, mostly for show (few significant issues advanced)</w:t>
            </w:r>
          </w:p>
          <w:p w:rsidR="00AB2E1E" w:rsidRPr="00920966" w:rsidRDefault="00AB2E1E" w:rsidP="00BE00B3">
            <w:pPr>
              <w:pStyle w:val="ListParagraph"/>
              <w:rPr>
                <w:sz w:val="22"/>
                <w:szCs w:val="22"/>
              </w:rPr>
            </w:pPr>
          </w:p>
          <w:p w:rsidR="00AB2E1E" w:rsidRPr="00920966" w:rsidRDefault="00AB2E1E" w:rsidP="004E2F7D">
            <w:pPr>
              <w:pStyle w:val="ListParagraph"/>
              <w:numPr>
                <w:ilvl w:val="0"/>
                <w:numId w:val="10"/>
              </w:numPr>
              <w:ind w:left="360"/>
              <w:rPr>
                <w:sz w:val="22"/>
                <w:szCs w:val="22"/>
              </w:rPr>
            </w:pPr>
            <w:r w:rsidRPr="00920966">
              <w:rPr>
                <w:sz w:val="22"/>
                <w:szCs w:val="22"/>
              </w:rPr>
              <w:t>Option 1 - Current members plus full membership for any headwater states who sign onto agreement</w:t>
            </w:r>
          </w:p>
          <w:p w:rsidR="00AB2E1E" w:rsidRPr="00920966" w:rsidRDefault="00AB2E1E" w:rsidP="004E2F7D">
            <w:pPr>
              <w:pStyle w:val="ListParagraph"/>
              <w:numPr>
                <w:ilvl w:val="1"/>
                <w:numId w:val="11"/>
              </w:numPr>
              <w:ind w:left="1080"/>
              <w:rPr>
                <w:i/>
                <w:sz w:val="22"/>
                <w:szCs w:val="22"/>
              </w:rPr>
            </w:pPr>
            <w:r w:rsidRPr="00920966">
              <w:rPr>
                <w:i/>
                <w:sz w:val="22"/>
                <w:szCs w:val="22"/>
              </w:rPr>
              <w:t>Pro – Greater participation and cooperation throughout watershed</w:t>
            </w:r>
          </w:p>
          <w:p w:rsidR="00AB2E1E" w:rsidRPr="00920966" w:rsidRDefault="00AB2E1E" w:rsidP="004E2F7D">
            <w:pPr>
              <w:pStyle w:val="ListParagraph"/>
              <w:numPr>
                <w:ilvl w:val="1"/>
                <w:numId w:val="11"/>
              </w:numPr>
              <w:ind w:left="1080"/>
              <w:rPr>
                <w:i/>
                <w:sz w:val="22"/>
                <w:szCs w:val="22"/>
              </w:rPr>
            </w:pPr>
            <w:r w:rsidRPr="00920966">
              <w:rPr>
                <w:i/>
                <w:sz w:val="22"/>
                <w:szCs w:val="22"/>
              </w:rPr>
              <w:t>Con – greater staffing needs commitments for headwaters</w:t>
            </w:r>
            <w:r w:rsidR="00FD46E1">
              <w:rPr>
                <w:i/>
                <w:sz w:val="22"/>
                <w:szCs w:val="22"/>
              </w:rPr>
              <w:t xml:space="preserve">, </w:t>
            </w:r>
            <w:r w:rsidR="00FD46E1" w:rsidRPr="00E35BE1">
              <w:rPr>
                <w:i/>
                <w:color w:val="C00000"/>
                <w:sz w:val="22"/>
                <w:szCs w:val="22"/>
              </w:rPr>
              <w:t>implementation grant funding formula will need to be re-visited</w:t>
            </w:r>
            <w:r w:rsidR="00D56853">
              <w:rPr>
                <w:i/>
                <w:color w:val="C00000"/>
                <w:sz w:val="22"/>
                <w:szCs w:val="22"/>
              </w:rPr>
              <w:t>; requires increased CBP funding for headwater states</w:t>
            </w:r>
          </w:p>
          <w:p w:rsidR="00AB2E1E" w:rsidRPr="00920966" w:rsidRDefault="00AB2E1E" w:rsidP="004E2F7D">
            <w:pPr>
              <w:pStyle w:val="ListParagraph"/>
              <w:ind w:left="360"/>
              <w:rPr>
                <w:sz w:val="22"/>
                <w:szCs w:val="22"/>
              </w:rPr>
            </w:pPr>
          </w:p>
          <w:p w:rsidR="00AB2E1E" w:rsidRPr="00920966" w:rsidRDefault="00AB2E1E" w:rsidP="004E2F7D">
            <w:pPr>
              <w:pStyle w:val="ListParagraph"/>
              <w:numPr>
                <w:ilvl w:val="0"/>
                <w:numId w:val="10"/>
              </w:numPr>
              <w:ind w:left="360"/>
              <w:rPr>
                <w:sz w:val="22"/>
                <w:szCs w:val="22"/>
              </w:rPr>
            </w:pPr>
            <w:r w:rsidRPr="00920966">
              <w:rPr>
                <w:sz w:val="22"/>
                <w:szCs w:val="22"/>
              </w:rPr>
              <w:t xml:space="preserve">Option 2 - Current members plus additional membership spot for other </w:t>
            </w:r>
            <w:r w:rsidRPr="00920966">
              <w:rPr>
                <w:sz w:val="22"/>
                <w:szCs w:val="22"/>
              </w:rPr>
              <w:lastRenderedPageBreak/>
              <w:t>federal agency(s) who sign onto agreement</w:t>
            </w:r>
          </w:p>
          <w:p w:rsidR="00AB2E1E" w:rsidRPr="00920966" w:rsidRDefault="00AB2E1E" w:rsidP="004E2F7D">
            <w:pPr>
              <w:pStyle w:val="ListParagraph"/>
              <w:numPr>
                <w:ilvl w:val="1"/>
                <w:numId w:val="11"/>
              </w:numPr>
              <w:ind w:left="1080"/>
              <w:rPr>
                <w:i/>
                <w:sz w:val="22"/>
                <w:szCs w:val="22"/>
              </w:rPr>
            </w:pPr>
            <w:r w:rsidRPr="00920966">
              <w:rPr>
                <w:i/>
                <w:sz w:val="22"/>
                <w:szCs w:val="22"/>
              </w:rPr>
              <w:t>Pro – Federal partners more engaged in full range of issues</w:t>
            </w:r>
          </w:p>
          <w:p w:rsidR="00AB2E1E" w:rsidRPr="00920966" w:rsidRDefault="00AB2E1E" w:rsidP="004E2F7D">
            <w:pPr>
              <w:pStyle w:val="ListParagraph"/>
              <w:numPr>
                <w:ilvl w:val="1"/>
                <w:numId w:val="11"/>
              </w:numPr>
              <w:ind w:left="1080"/>
              <w:rPr>
                <w:i/>
                <w:sz w:val="22"/>
                <w:szCs w:val="22"/>
              </w:rPr>
            </w:pPr>
            <w:r w:rsidRPr="00920966">
              <w:rPr>
                <w:i/>
                <w:sz w:val="22"/>
                <w:szCs w:val="22"/>
              </w:rPr>
              <w:t>Con – dilutes voting rights of jurisdictions</w:t>
            </w:r>
          </w:p>
          <w:p w:rsidR="00AB2E1E" w:rsidRPr="00920966" w:rsidRDefault="00AB2E1E" w:rsidP="004E2F7D">
            <w:pPr>
              <w:pStyle w:val="ListParagraph"/>
              <w:ind w:left="1080"/>
              <w:rPr>
                <w:i/>
                <w:sz w:val="22"/>
                <w:szCs w:val="22"/>
              </w:rPr>
            </w:pPr>
          </w:p>
          <w:p w:rsidR="00AB2E1E" w:rsidRPr="00920966" w:rsidRDefault="00AB2E1E" w:rsidP="004E2F7D">
            <w:pPr>
              <w:pStyle w:val="ListParagraph"/>
              <w:numPr>
                <w:ilvl w:val="0"/>
                <w:numId w:val="10"/>
              </w:numPr>
              <w:ind w:left="360"/>
              <w:rPr>
                <w:sz w:val="22"/>
                <w:szCs w:val="22"/>
              </w:rPr>
            </w:pPr>
            <w:r w:rsidRPr="00920966">
              <w:rPr>
                <w:sz w:val="22"/>
                <w:szCs w:val="22"/>
              </w:rPr>
              <w:t xml:space="preserve">Option 3 – Current members plus additional membership spot for Federal Leadership Committee agency.  </w:t>
            </w:r>
          </w:p>
          <w:p w:rsidR="00AB2E1E" w:rsidRPr="00920966" w:rsidRDefault="00AB2E1E" w:rsidP="004E2F7D">
            <w:pPr>
              <w:pStyle w:val="ListParagraph"/>
              <w:ind w:left="360"/>
              <w:rPr>
                <w:sz w:val="22"/>
                <w:szCs w:val="22"/>
              </w:rPr>
            </w:pPr>
          </w:p>
          <w:p w:rsidR="00AB2E1E" w:rsidRPr="00920966" w:rsidRDefault="00AB2E1E" w:rsidP="004E2F7D">
            <w:pPr>
              <w:pStyle w:val="ListParagraph"/>
              <w:numPr>
                <w:ilvl w:val="0"/>
                <w:numId w:val="10"/>
              </w:numPr>
              <w:ind w:left="360"/>
              <w:rPr>
                <w:sz w:val="22"/>
                <w:szCs w:val="22"/>
              </w:rPr>
            </w:pPr>
            <w:r w:rsidRPr="00920966">
              <w:rPr>
                <w:sz w:val="22"/>
                <w:szCs w:val="22"/>
              </w:rPr>
              <w:t>Option 4 – Combination of options 1, 2 and/or 3</w:t>
            </w:r>
          </w:p>
          <w:p w:rsidR="00AB2E1E" w:rsidRPr="00920966" w:rsidRDefault="00AB2E1E" w:rsidP="004E2F7D">
            <w:pPr>
              <w:pStyle w:val="ListParagraph"/>
              <w:ind w:left="360"/>
              <w:rPr>
                <w:sz w:val="22"/>
                <w:szCs w:val="22"/>
              </w:rPr>
            </w:pPr>
          </w:p>
          <w:p w:rsidR="00AB2E1E" w:rsidRPr="00920966" w:rsidRDefault="00AB2E1E" w:rsidP="004E2F7D">
            <w:pPr>
              <w:pStyle w:val="ListParagraph"/>
              <w:numPr>
                <w:ilvl w:val="0"/>
                <w:numId w:val="10"/>
              </w:numPr>
              <w:ind w:left="360"/>
              <w:rPr>
                <w:sz w:val="22"/>
                <w:szCs w:val="22"/>
              </w:rPr>
            </w:pPr>
            <w:r w:rsidRPr="00920966">
              <w:rPr>
                <w:sz w:val="22"/>
                <w:szCs w:val="22"/>
              </w:rPr>
              <w:t>Option 5 – Non-TMDL option.  Current governing body structure and membership of EC/PSC/MB/GITs but take TMDL out of the program; EPA would handle directly with jurisdictions; other water quality issues would be retained by CBP Partnership (monitoring, model, etc)</w:t>
            </w:r>
          </w:p>
          <w:p w:rsidR="00AB2E1E" w:rsidRPr="00920966" w:rsidRDefault="00AB2E1E" w:rsidP="004E2F7D">
            <w:pPr>
              <w:pStyle w:val="ListParagraph"/>
              <w:numPr>
                <w:ilvl w:val="1"/>
                <w:numId w:val="11"/>
              </w:numPr>
              <w:ind w:left="1080"/>
              <w:rPr>
                <w:i/>
                <w:sz w:val="22"/>
                <w:szCs w:val="22"/>
              </w:rPr>
            </w:pPr>
            <w:r w:rsidRPr="00920966">
              <w:rPr>
                <w:i/>
                <w:sz w:val="22"/>
                <w:szCs w:val="22"/>
              </w:rPr>
              <w:t xml:space="preserve">Pro – takes divisive TMDL issue out of the CBP Partnership </w:t>
            </w:r>
          </w:p>
          <w:p w:rsidR="00AB2E1E" w:rsidRPr="00920966" w:rsidRDefault="00AB2E1E" w:rsidP="004E2F7D">
            <w:pPr>
              <w:pStyle w:val="ListParagraph"/>
              <w:numPr>
                <w:ilvl w:val="1"/>
                <w:numId w:val="11"/>
              </w:numPr>
              <w:ind w:left="1080"/>
              <w:rPr>
                <w:i/>
                <w:sz w:val="22"/>
                <w:szCs w:val="22"/>
              </w:rPr>
            </w:pPr>
            <w:r w:rsidRPr="00920966">
              <w:rPr>
                <w:i/>
                <w:sz w:val="22"/>
                <w:szCs w:val="22"/>
              </w:rPr>
              <w:t xml:space="preserve">Con – </w:t>
            </w:r>
            <w:r w:rsidR="00C0465D" w:rsidRPr="00783C06">
              <w:rPr>
                <w:i/>
                <w:color w:val="C00000"/>
                <w:sz w:val="22"/>
                <w:szCs w:val="22"/>
              </w:rPr>
              <w:t>If jurisdictions do not sign on to non-water quality goals</w:t>
            </w:r>
            <w:r w:rsidR="007D4952" w:rsidRPr="00783C06">
              <w:rPr>
                <w:i/>
                <w:color w:val="C00000"/>
                <w:sz w:val="22"/>
                <w:szCs w:val="22"/>
              </w:rPr>
              <w:t>,</w:t>
            </w:r>
            <w:r w:rsidR="00E44103" w:rsidRPr="00783C06">
              <w:rPr>
                <w:i/>
                <w:color w:val="C00000"/>
                <w:sz w:val="22"/>
                <w:szCs w:val="22"/>
              </w:rPr>
              <w:t xml:space="preserve"> </w:t>
            </w:r>
            <w:r w:rsidRPr="00920966">
              <w:rPr>
                <w:i/>
                <w:sz w:val="22"/>
                <w:szCs w:val="22"/>
              </w:rPr>
              <w:t>jurisdictions lose funding provided through CBP/Sec. 117, less opportunity for cross-</w:t>
            </w:r>
            <w:proofErr w:type="spellStart"/>
            <w:r w:rsidRPr="00920966">
              <w:rPr>
                <w:i/>
                <w:sz w:val="22"/>
                <w:szCs w:val="22"/>
              </w:rPr>
              <w:t>git</w:t>
            </w:r>
            <w:proofErr w:type="spellEnd"/>
            <w:r w:rsidRPr="00920966">
              <w:rPr>
                <w:i/>
                <w:sz w:val="22"/>
                <w:szCs w:val="22"/>
              </w:rPr>
              <w:t xml:space="preserve"> communication and collaboration as it relates to issues that relate directly to water quality.</w:t>
            </w:r>
          </w:p>
          <w:p w:rsidR="004E2F7D" w:rsidRPr="00920966" w:rsidRDefault="004E2F7D" w:rsidP="004E2F7D">
            <w:pPr>
              <w:pStyle w:val="ListParagraph"/>
              <w:ind w:left="1080"/>
              <w:rPr>
                <w:i/>
                <w:sz w:val="22"/>
                <w:szCs w:val="22"/>
              </w:rPr>
            </w:pPr>
          </w:p>
        </w:tc>
      </w:tr>
      <w:tr w:rsidR="009C2F6E" w:rsidRPr="00920966" w:rsidTr="00C415B2">
        <w:tc>
          <w:tcPr>
            <w:tcW w:w="1672" w:type="dxa"/>
            <w:shd w:val="clear" w:color="auto" w:fill="F2F2F2" w:themeFill="background1" w:themeFillShade="F2"/>
          </w:tcPr>
          <w:p w:rsidR="009C2F6E" w:rsidRPr="00920966" w:rsidRDefault="00E8433C" w:rsidP="00BE00B3">
            <w:pPr>
              <w:rPr>
                <w:rFonts w:ascii="Times New Roman" w:hAnsi="Times New Roman" w:cs="Times New Roman"/>
                <w:u w:val="single"/>
              </w:rPr>
            </w:pPr>
            <w:r>
              <w:rPr>
                <w:rFonts w:ascii="Times New Roman" w:hAnsi="Times New Roman" w:cs="Times New Roman"/>
                <w:u w:val="single"/>
              </w:rPr>
              <w:lastRenderedPageBreak/>
              <w:t>Notes:</w:t>
            </w:r>
          </w:p>
        </w:tc>
        <w:tc>
          <w:tcPr>
            <w:tcW w:w="7436" w:type="dxa"/>
            <w:gridSpan w:val="2"/>
            <w:shd w:val="clear" w:color="auto" w:fill="F2F2F2" w:themeFill="background1" w:themeFillShade="F2"/>
          </w:tcPr>
          <w:p w:rsidR="009C2F6E" w:rsidRPr="00920966" w:rsidRDefault="009C2F6E" w:rsidP="00BE00B3">
            <w:pPr>
              <w:rPr>
                <w:rFonts w:ascii="Times New Roman" w:hAnsi="Times New Roman" w:cs="Times New Roman"/>
                <w:u w:val="single"/>
              </w:rPr>
            </w:pPr>
            <w:r w:rsidRPr="00920966">
              <w:rPr>
                <w:rFonts w:ascii="Times New Roman" w:hAnsi="Times New Roman" w:cs="Times New Roman"/>
                <w:u w:val="single"/>
              </w:rPr>
              <w:t>Principals’ Staff Committee</w:t>
            </w:r>
            <w:r w:rsidR="004E2F7D" w:rsidRPr="00920966">
              <w:rPr>
                <w:rFonts w:ascii="Times New Roman" w:hAnsi="Times New Roman" w:cs="Times New Roman"/>
                <w:u w:val="single"/>
              </w:rPr>
              <w:t xml:space="preserve"> Options</w:t>
            </w:r>
          </w:p>
          <w:p w:rsidR="009C2F6E" w:rsidRPr="00920966" w:rsidRDefault="009C2F6E" w:rsidP="00920966">
            <w:pPr>
              <w:pStyle w:val="ListParagraph"/>
              <w:numPr>
                <w:ilvl w:val="0"/>
                <w:numId w:val="10"/>
              </w:numPr>
              <w:ind w:left="360"/>
              <w:rPr>
                <w:sz w:val="22"/>
                <w:szCs w:val="22"/>
              </w:rPr>
            </w:pPr>
            <w:r w:rsidRPr="00920966">
              <w:rPr>
                <w:sz w:val="22"/>
                <w:szCs w:val="22"/>
              </w:rPr>
              <w:t>Status quo – EC designees (state secretaries from all jurisdictions, CBC chair, EPA as lead federal agency), CAC and LGAC chairs; all invited to table; only one vote per member (EPA has single vote for all federal members), but multiple members from same jurisdictions/federal agencies at table.</w:t>
            </w:r>
          </w:p>
          <w:p w:rsidR="009C2F6E" w:rsidRPr="00920966" w:rsidRDefault="009C2F6E" w:rsidP="00920966">
            <w:pPr>
              <w:pStyle w:val="ListParagraph"/>
              <w:numPr>
                <w:ilvl w:val="1"/>
                <w:numId w:val="11"/>
              </w:numPr>
              <w:ind w:left="1080"/>
              <w:rPr>
                <w:i/>
                <w:sz w:val="22"/>
                <w:szCs w:val="22"/>
              </w:rPr>
            </w:pPr>
            <w:r w:rsidRPr="00920966">
              <w:rPr>
                <w:i/>
                <w:sz w:val="22"/>
                <w:szCs w:val="22"/>
              </w:rPr>
              <w:t>Pro – greater expertise and higher level decision makers from all partners</w:t>
            </w:r>
          </w:p>
          <w:p w:rsidR="009C2F6E" w:rsidRPr="00920966" w:rsidRDefault="009C2F6E" w:rsidP="00920966">
            <w:pPr>
              <w:pStyle w:val="ListParagraph"/>
              <w:numPr>
                <w:ilvl w:val="1"/>
                <w:numId w:val="11"/>
              </w:numPr>
              <w:ind w:left="1080"/>
              <w:rPr>
                <w:i/>
                <w:sz w:val="22"/>
                <w:szCs w:val="22"/>
              </w:rPr>
            </w:pPr>
            <w:r w:rsidRPr="00920966">
              <w:rPr>
                <w:i/>
                <w:sz w:val="22"/>
                <w:szCs w:val="22"/>
              </w:rPr>
              <w:t>Con –dilution of jurisdictions’ perspective, jurisdictions with more members at the table can have perceived greater influence on discussion; unclear who has voting privileges</w:t>
            </w:r>
          </w:p>
          <w:p w:rsidR="009C2F6E" w:rsidRPr="00920966" w:rsidRDefault="009C2F6E" w:rsidP="00920966">
            <w:pPr>
              <w:pStyle w:val="ListParagraph"/>
              <w:ind w:left="360"/>
              <w:rPr>
                <w:sz w:val="22"/>
                <w:szCs w:val="22"/>
              </w:rPr>
            </w:pPr>
          </w:p>
          <w:p w:rsidR="009C2F6E" w:rsidRPr="00920966" w:rsidRDefault="009C2F6E" w:rsidP="00920966">
            <w:pPr>
              <w:pStyle w:val="ListParagraph"/>
              <w:numPr>
                <w:ilvl w:val="0"/>
                <w:numId w:val="10"/>
              </w:numPr>
              <w:ind w:left="360"/>
              <w:rPr>
                <w:sz w:val="22"/>
                <w:szCs w:val="22"/>
              </w:rPr>
            </w:pPr>
            <w:r w:rsidRPr="00920966">
              <w:rPr>
                <w:sz w:val="22"/>
                <w:szCs w:val="22"/>
              </w:rPr>
              <w:t>Option 1 – Current membership; however, members may only vote on issues according to what they have signed onto (i.e. if only signed onto water quality, may only vote on water quality issues)</w:t>
            </w:r>
          </w:p>
          <w:p w:rsidR="009C2F6E" w:rsidRPr="00920966" w:rsidRDefault="009C2F6E" w:rsidP="00920966">
            <w:pPr>
              <w:pStyle w:val="ListParagraph"/>
              <w:numPr>
                <w:ilvl w:val="1"/>
                <w:numId w:val="11"/>
              </w:numPr>
              <w:ind w:left="1080"/>
              <w:rPr>
                <w:i/>
                <w:sz w:val="22"/>
                <w:szCs w:val="22"/>
              </w:rPr>
            </w:pPr>
            <w:r w:rsidRPr="00920966">
              <w:rPr>
                <w:i/>
                <w:sz w:val="22"/>
                <w:szCs w:val="22"/>
              </w:rPr>
              <w:t>Pro – members can pick and choose issue on which they will work</w:t>
            </w:r>
          </w:p>
          <w:p w:rsidR="009C2F6E" w:rsidRPr="00920966" w:rsidRDefault="009C2F6E" w:rsidP="00920966">
            <w:pPr>
              <w:pStyle w:val="ListParagraph"/>
              <w:numPr>
                <w:ilvl w:val="1"/>
                <w:numId w:val="11"/>
              </w:numPr>
              <w:ind w:left="1080"/>
              <w:rPr>
                <w:i/>
                <w:sz w:val="22"/>
                <w:szCs w:val="22"/>
              </w:rPr>
            </w:pPr>
            <w:r w:rsidRPr="00920966">
              <w:rPr>
                <w:i/>
                <w:sz w:val="22"/>
                <w:szCs w:val="22"/>
              </w:rPr>
              <w:t>Con –complicates voting; weakens collaboration of full range of ecosystem issues</w:t>
            </w:r>
          </w:p>
          <w:p w:rsidR="009C2F6E" w:rsidRPr="00920966" w:rsidRDefault="009C2F6E" w:rsidP="00920966">
            <w:pPr>
              <w:rPr>
                <w:rFonts w:ascii="Times New Roman" w:hAnsi="Times New Roman" w:cs="Times New Roman"/>
                <w:color w:val="943634" w:themeColor="accent2" w:themeShade="BF"/>
              </w:rPr>
            </w:pPr>
          </w:p>
          <w:p w:rsidR="009C2F6E" w:rsidRPr="007D2023" w:rsidRDefault="009C2F6E" w:rsidP="00920966">
            <w:pPr>
              <w:pStyle w:val="ListParagraph"/>
              <w:numPr>
                <w:ilvl w:val="0"/>
                <w:numId w:val="10"/>
              </w:numPr>
              <w:ind w:left="360"/>
              <w:rPr>
                <w:color w:val="C00000"/>
                <w:sz w:val="22"/>
                <w:szCs w:val="22"/>
              </w:rPr>
            </w:pPr>
            <w:r w:rsidRPr="007D2023">
              <w:rPr>
                <w:color w:val="C00000"/>
                <w:sz w:val="22"/>
                <w:szCs w:val="22"/>
              </w:rPr>
              <w:t>Option 2 – Current membership plus one additional federal representative (non-EPA) identified by FLCD. (new option post meeting)</w:t>
            </w:r>
          </w:p>
          <w:p w:rsidR="009C2F6E" w:rsidRPr="00920966" w:rsidRDefault="009C2F6E" w:rsidP="00920966">
            <w:pPr>
              <w:pStyle w:val="ListParagraph"/>
              <w:numPr>
                <w:ilvl w:val="1"/>
                <w:numId w:val="11"/>
              </w:numPr>
              <w:ind w:left="1080"/>
              <w:rPr>
                <w:i/>
                <w:sz w:val="22"/>
                <w:szCs w:val="22"/>
              </w:rPr>
            </w:pPr>
            <w:r w:rsidRPr="00920966">
              <w:rPr>
                <w:i/>
                <w:sz w:val="22"/>
                <w:szCs w:val="22"/>
              </w:rPr>
              <w:t>Pro – accomplishes goal of aligning federal agencies’ goals and outcomes and work with th</w:t>
            </w:r>
            <w:r w:rsidR="000012AB" w:rsidRPr="00920966">
              <w:rPr>
                <w:i/>
                <w:sz w:val="22"/>
                <w:szCs w:val="22"/>
              </w:rPr>
              <w:t>ose of CBP Partnership members.</w:t>
            </w:r>
          </w:p>
          <w:p w:rsidR="000012AB" w:rsidRPr="00920966" w:rsidRDefault="000012AB" w:rsidP="00920966">
            <w:pPr>
              <w:pStyle w:val="ListParagraph"/>
              <w:numPr>
                <w:ilvl w:val="1"/>
                <w:numId w:val="11"/>
              </w:numPr>
              <w:ind w:left="1080"/>
              <w:rPr>
                <w:i/>
                <w:sz w:val="22"/>
                <w:szCs w:val="22"/>
              </w:rPr>
            </w:pPr>
            <w:r w:rsidRPr="00920966">
              <w:rPr>
                <w:i/>
                <w:sz w:val="22"/>
                <w:szCs w:val="22"/>
              </w:rPr>
              <w:t>Con – dilutes jurisdictions perspective/votes</w:t>
            </w:r>
          </w:p>
          <w:p w:rsidR="009C2F6E" w:rsidRPr="00920966" w:rsidRDefault="009C2F6E" w:rsidP="00BE00B3">
            <w:pPr>
              <w:rPr>
                <w:rFonts w:ascii="Times New Roman" w:hAnsi="Times New Roman" w:cs="Times New Roman"/>
                <w:u w:val="single"/>
              </w:rPr>
            </w:pPr>
          </w:p>
        </w:tc>
      </w:tr>
      <w:tr w:rsidR="009C2F6E" w:rsidRPr="00920966" w:rsidTr="00C415B2">
        <w:tc>
          <w:tcPr>
            <w:tcW w:w="1672" w:type="dxa"/>
            <w:shd w:val="clear" w:color="auto" w:fill="F2F2F2" w:themeFill="background1" w:themeFillShade="F2"/>
          </w:tcPr>
          <w:p w:rsidR="009C2F6E" w:rsidRPr="00920966" w:rsidRDefault="009F5A62" w:rsidP="00BE00B3">
            <w:pPr>
              <w:rPr>
                <w:rFonts w:ascii="Times New Roman" w:hAnsi="Times New Roman" w:cs="Times New Roman"/>
                <w:u w:val="single"/>
              </w:rPr>
            </w:pPr>
            <w:r>
              <w:rPr>
                <w:rFonts w:ascii="Times New Roman" w:hAnsi="Times New Roman" w:cs="Times New Roman"/>
                <w:u w:val="single"/>
              </w:rPr>
              <w:lastRenderedPageBreak/>
              <w:t>Notes:</w:t>
            </w:r>
          </w:p>
        </w:tc>
        <w:tc>
          <w:tcPr>
            <w:tcW w:w="7436" w:type="dxa"/>
            <w:gridSpan w:val="2"/>
            <w:shd w:val="clear" w:color="auto" w:fill="F2F2F2" w:themeFill="background1" w:themeFillShade="F2"/>
          </w:tcPr>
          <w:p w:rsidR="009C2F6E" w:rsidRPr="00920966" w:rsidRDefault="009C2F6E" w:rsidP="00BE00B3">
            <w:pPr>
              <w:rPr>
                <w:rFonts w:ascii="Times New Roman" w:hAnsi="Times New Roman" w:cs="Times New Roman"/>
                <w:u w:val="single"/>
              </w:rPr>
            </w:pPr>
            <w:r w:rsidRPr="00920966">
              <w:rPr>
                <w:rFonts w:ascii="Times New Roman" w:hAnsi="Times New Roman" w:cs="Times New Roman"/>
                <w:u w:val="single"/>
              </w:rPr>
              <w:t>Management Board</w:t>
            </w:r>
            <w:r w:rsidR="004E2F7D" w:rsidRPr="00920966">
              <w:rPr>
                <w:rFonts w:ascii="Times New Roman" w:hAnsi="Times New Roman" w:cs="Times New Roman"/>
                <w:u w:val="single"/>
              </w:rPr>
              <w:t xml:space="preserve"> Options</w:t>
            </w:r>
          </w:p>
          <w:p w:rsidR="009C2F6E" w:rsidRPr="00920966" w:rsidRDefault="009C2F6E" w:rsidP="004E2F7D">
            <w:pPr>
              <w:rPr>
                <w:rFonts w:ascii="Times New Roman" w:hAnsi="Times New Roman" w:cs="Times New Roman"/>
                <w:i/>
                <w:sz w:val="20"/>
              </w:rPr>
            </w:pPr>
            <w:r w:rsidRPr="00920966">
              <w:rPr>
                <w:rFonts w:ascii="Times New Roman" w:hAnsi="Times New Roman" w:cs="Times New Roman"/>
                <w:i/>
                <w:sz w:val="20"/>
              </w:rPr>
              <w:t>**note:  we did not come up with options to address the level of seniority of MB v. GIT members; please let me know if you have suggestions.</w:t>
            </w:r>
          </w:p>
          <w:p w:rsidR="009C2F6E" w:rsidRPr="00920966" w:rsidRDefault="009C2F6E" w:rsidP="00BE00B3">
            <w:pPr>
              <w:pStyle w:val="ListParagraph"/>
              <w:ind w:left="360"/>
              <w:rPr>
                <w:i/>
                <w:szCs w:val="22"/>
              </w:rPr>
            </w:pPr>
          </w:p>
          <w:p w:rsidR="009C2F6E" w:rsidRPr="00920966" w:rsidRDefault="009C2F6E" w:rsidP="00920966">
            <w:pPr>
              <w:pStyle w:val="ListParagraph"/>
              <w:numPr>
                <w:ilvl w:val="0"/>
                <w:numId w:val="10"/>
              </w:numPr>
              <w:ind w:left="360"/>
              <w:rPr>
                <w:sz w:val="22"/>
                <w:szCs w:val="22"/>
              </w:rPr>
            </w:pPr>
            <w:r w:rsidRPr="00920966">
              <w:rPr>
                <w:sz w:val="22"/>
                <w:szCs w:val="22"/>
              </w:rPr>
              <w:t xml:space="preserve">Status quo – Members are PSC designees, CAC and LGAC </w:t>
            </w:r>
            <w:r w:rsidR="003960D4" w:rsidRPr="00920966">
              <w:rPr>
                <w:sz w:val="22"/>
                <w:szCs w:val="22"/>
              </w:rPr>
              <w:t>chairs</w:t>
            </w:r>
            <w:r w:rsidRPr="00920966">
              <w:rPr>
                <w:sz w:val="22"/>
                <w:szCs w:val="22"/>
              </w:rPr>
              <w:t>.  STAC and GIT chairs are memb</w:t>
            </w:r>
            <w:r w:rsidR="00302D67">
              <w:rPr>
                <w:sz w:val="22"/>
                <w:szCs w:val="22"/>
              </w:rPr>
              <w:t xml:space="preserve">ers, but are advisory with </w:t>
            </w:r>
            <w:r w:rsidRPr="00920966">
              <w:rPr>
                <w:sz w:val="22"/>
                <w:szCs w:val="22"/>
              </w:rPr>
              <w:t>no voting privileges.</w:t>
            </w:r>
          </w:p>
          <w:p w:rsidR="009C2F6E" w:rsidRPr="00920966" w:rsidRDefault="009C2F6E" w:rsidP="00920966">
            <w:pPr>
              <w:pStyle w:val="ListParagraph"/>
              <w:numPr>
                <w:ilvl w:val="1"/>
                <w:numId w:val="11"/>
              </w:numPr>
              <w:ind w:left="1080"/>
              <w:rPr>
                <w:i/>
                <w:sz w:val="22"/>
                <w:szCs w:val="22"/>
              </w:rPr>
            </w:pPr>
            <w:r w:rsidRPr="00920966">
              <w:rPr>
                <w:i/>
                <w:sz w:val="22"/>
                <w:szCs w:val="22"/>
              </w:rPr>
              <w:t>Pro – members from all the partners; strong expertise and history in partnership</w:t>
            </w:r>
          </w:p>
          <w:p w:rsidR="009C2F6E" w:rsidRPr="00920966" w:rsidRDefault="009C2F6E" w:rsidP="00920966">
            <w:pPr>
              <w:pStyle w:val="ListParagraph"/>
              <w:numPr>
                <w:ilvl w:val="1"/>
                <w:numId w:val="11"/>
              </w:numPr>
              <w:ind w:left="1080"/>
              <w:rPr>
                <w:i/>
                <w:sz w:val="22"/>
                <w:szCs w:val="22"/>
              </w:rPr>
            </w:pPr>
            <w:r w:rsidRPr="00920966">
              <w:rPr>
                <w:i/>
                <w:sz w:val="22"/>
                <w:szCs w:val="22"/>
              </w:rPr>
              <w:t xml:space="preserve">Con –members are often at same level and/or people as GITs; members mostly represent water quality issues and not full spectrum of issues; lack of clarity for role in partnership. Lacks authority to make final decisions (mostly a pass through). </w:t>
            </w:r>
          </w:p>
          <w:p w:rsidR="009C2F6E" w:rsidRPr="00920966" w:rsidRDefault="009C2F6E" w:rsidP="00920966">
            <w:pPr>
              <w:pStyle w:val="ListParagraph"/>
              <w:ind w:left="360"/>
              <w:rPr>
                <w:sz w:val="22"/>
                <w:szCs w:val="22"/>
              </w:rPr>
            </w:pPr>
          </w:p>
          <w:p w:rsidR="009C2F6E" w:rsidRPr="00920966" w:rsidRDefault="009C2F6E" w:rsidP="00920966">
            <w:pPr>
              <w:pStyle w:val="ListParagraph"/>
              <w:numPr>
                <w:ilvl w:val="0"/>
                <w:numId w:val="10"/>
              </w:numPr>
              <w:ind w:left="360"/>
              <w:rPr>
                <w:sz w:val="22"/>
                <w:szCs w:val="22"/>
              </w:rPr>
            </w:pPr>
            <w:r w:rsidRPr="00920966">
              <w:rPr>
                <w:sz w:val="22"/>
                <w:szCs w:val="22"/>
              </w:rPr>
              <w:t xml:space="preserve">Option 1 – Increased </w:t>
            </w:r>
            <w:proofErr w:type="gramStart"/>
            <w:r w:rsidRPr="00920966">
              <w:rPr>
                <w:sz w:val="22"/>
                <w:szCs w:val="22"/>
              </w:rPr>
              <w:t>MB  authority</w:t>
            </w:r>
            <w:proofErr w:type="gramEnd"/>
            <w:r w:rsidRPr="00920966">
              <w:rPr>
                <w:sz w:val="22"/>
                <w:szCs w:val="22"/>
              </w:rPr>
              <w:t>.  Current membership and structure with increased authority for MB as final decider and for making higher level decisions (only highest policy decisions would be sent to PSC); tighten up current rules and better define ne voting rights and enforce them; only signatory members have voting privileges; only one voice per member.</w:t>
            </w:r>
            <w:r w:rsidR="00AE4881">
              <w:rPr>
                <w:sz w:val="22"/>
                <w:szCs w:val="22"/>
              </w:rPr>
              <w:t xml:space="preserve"> </w:t>
            </w:r>
            <w:r w:rsidR="00AE4881" w:rsidRPr="00810530">
              <w:rPr>
                <w:color w:val="C00000"/>
                <w:sz w:val="22"/>
                <w:szCs w:val="22"/>
              </w:rPr>
              <w:t>(***signatory member means a jurisdiction which has signed onto the full CBP agreement or a sub-</w:t>
            </w:r>
            <w:r w:rsidR="00810530" w:rsidRPr="00810530">
              <w:rPr>
                <w:color w:val="C00000"/>
                <w:sz w:val="22"/>
                <w:szCs w:val="22"/>
              </w:rPr>
              <w:t>agreement</w:t>
            </w:r>
            <w:r w:rsidR="00AE4881" w:rsidRPr="00810530">
              <w:rPr>
                <w:color w:val="C00000"/>
                <w:sz w:val="22"/>
                <w:szCs w:val="22"/>
              </w:rPr>
              <w:t xml:space="preserve"> committing a </w:t>
            </w:r>
            <w:r w:rsidR="00810530" w:rsidRPr="00810530">
              <w:rPr>
                <w:color w:val="C00000"/>
                <w:sz w:val="22"/>
                <w:szCs w:val="22"/>
              </w:rPr>
              <w:t>jurisdiction</w:t>
            </w:r>
            <w:r w:rsidR="00AE4881" w:rsidRPr="00810530">
              <w:rPr>
                <w:color w:val="C00000"/>
                <w:sz w:val="22"/>
                <w:szCs w:val="22"/>
              </w:rPr>
              <w:t xml:space="preserve"> to one or more </w:t>
            </w:r>
            <w:r w:rsidR="00810530" w:rsidRPr="00810530">
              <w:rPr>
                <w:color w:val="C00000"/>
                <w:sz w:val="22"/>
                <w:szCs w:val="22"/>
              </w:rPr>
              <w:t>specific</w:t>
            </w:r>
            <w:r w:rsidR="00AE4881" w:rsidRPr="00810530">
              <w:rPr>
                <w:color w:val="C00000"/>
                <w:sz w:val="22"/>
                <w:szCs w:val="22"/>
              </w:rPr>
              <w:t xml:space="preserve"> goals. Hence if voting is restricted to signatory members, only those jurisdictions which have committed to a specific goal may vote on issues related to that goal)</w:t>
            </w:r>
          </w:p>
          <w:p w:rsidR="009C2F6E" w:rsidRPr="00920966" w:rsidRDefault="009C2F6E" w:rsidP="00920966">
            <w:pPr>
              <w:pStyle w:val="ListParagraph"/>
              <w:ind w:left="360"/>
              <w:rPr>
                <w:sz w:val="22"/>
                <w:szCs w:val="22"/>
              </w:rPr>
            </w:pPr>
          </w:p>
          <w:p w:rsidR="009C2F6E" w:rsidRPr="00920966" w:rsidRDefault="009C2F6E" w:rsidP="00920966">
            <w:pPr>
              <w:pStyle w:val="ListParagraph"/>
              <w:numPr>
                <w:ilvl w:val="0"/>
                <w:numId w:val="10"/>
              </w:numPr>
              <w:ind w:left="360"/>
              <w:rPr>
                <w:sz w:val="22"/>
                <w:szCs w:val="22"/>
              </w:rPr>
            </w:pPr>
            <w:proofErr w:type="gramStart"/>
            <w:r w:rsidRPr="00920966">
              <w:rPr>
                <w:sz w:val="22"/>
                <w:szCs w:val="22"/>
              </w:rPr>
              <w:t>Option 2 – Current membership, but create</w:t>
            </w:r>
            <w:proofErr w:type="gramEnd"/>
            <w:r w:rsidRPr="00920966">
              <w:rPr>
                <w:sz w:val="22"/>
                <w:szCs w:val="22"/>
              </w:rPr>
              <w:t xml:space="preserve"> a MB Executive Committee.  Members would include gang of 6/9 who are the new signatories (this may/may not include headwater states)</w:t>
            </w:r>
          </w:p>
          <w:p w:rsidR="009C2F6E" w:rsidRPr="00920966" w:rsidRDefault="009C2F6E" w:rsidP="00920966">
            <w:pPr>
              <w:pStyle w:val="ListParagraph"/>
              <w:ind w:left="360"/>
              <w:rPr>
                <w:sz w:val="22"/>
                <w:szCs w:val="22"/>
              </w:rPr>
            </w:pPr>
          </w:p>
          <w:p w:rsidR="009C2F6E" w:rsidRPr="00920966" w:rsidRDefault="009C2F6E" w:rsidP="00920966">
            <w:pPr>
              <w:pStyle w:val="ListParagraph"/>
              <w:numPr>
                <w:ilvl w:val="0"/>
                <w:numId w:val="10"/>
              </w:numPr>
              <w:ind w:left="360"/>
              <w:rPr>
                <w:sz w:val="22"/>
                <w:szCs w:val="22"/>
              </w:rPr>
            </w:pPr>
            <w:r w:rsidRPr="00920966">
              <w:rPr>
                <w:sz w:val="22"/>
                <w:szCs w:val="22"/>
              </w:rPr>
              <w:t xml:space="preserve">Option 3 – Two Management Boards option.  Current governing bodies, but with two Management Boards.   Example:  MB1 would focus on issues from water quality and habitats GITs; MB2 would focus on issues from fisheries, healthy watersheds and stewardship GITs.  Cross-goal collaborations would be built into more frequent GIT chair meetings.  </w:t>
            </w:r>
          </w:p>
          <w:p w:rsidR="00DF0F0D" w:rsidRPr="000F144D" w:rsidRDefault="00DF0F0D" w:rsidP="00DF0F0D">
            <w:pPr>
              <w:pStyle w:val="ListParagraph"/>
              <w:numPr>
                <w:ilvl w:val="1"/>
                <w:numId w:val="11"/>
              </w:numPr>
              <w:ind w:left="1080"/>
              <w:rPr>
                <w:i/>
                <w:color w:val="C00000"/>
                <w:sz w:val="22"/>
                <w:szCs w:val="22"/>
              </w:rPr>
            </w:pPr>
            <w:r w:rsidRPr="000F144D">
              <w:rPr>
                <w:i/>
                <w:color w:val="C00000"/>
                <w:sz w:val="22"/>
                <w:szCs w:val="22"/>
              </w:rPr>
              <w:t>Con –</w:t>
            </w:r>
            <w:r w:rsidR="00A02C26" w:rsidRPr="000F144D">
              <w:rPr>
                <w:i/>
                <w:color w:val="C00000"/>
                <w:sz w:val="22"/>
                <w:szCs w:val="22"/>
              </w:rPr>
              <w:t xml:space="preserve"> does not deal with the watershed as an integrated ecosystem</w:t>
            </w:r>
          </w:p>
          <w:p w:rsidR="009C2F6E" w:rsidRPr="00E25BCB" w:rsidRDefault="009C2F6E" w:rsidP="00E25BCB"/>
          <w:p w:rsidR="009C2F6E" w:rsidRPr="00920966" w:rsidRDefault="009C2F6E" w:rsidP="00920966">
            <w:pPr>
              <w:pStyle w:val="ListParagraph"/>
              <w:numPr>
                <w:ilvl w:val="0"/>
                <w:numId w:val="10"/>
              </w:numPr>
              <w:ind w:left="360"/>
              <w:rPr>
                <w:sz w:val="22"/>
                <w:szCs w:val="22"/>
              </w:rPr>
            </w:pPr>
            <w:r w:rsidRPr="00920966">
              <w:rPr>
                <w:sz w:val="22"/>
                <w:szCs w:val="22"/>
              </w:rPr>
              <w:t xml:space="preserve">Option 4 – GIT Chair MB option – GIT chairs and vice chairs—along with CBC, CAC and LGAC chairs—are the Management Board.  Would need to ensure that all jurisdictions are represented. </w:t>
            </w:r>
          </w:p>
          <w:p w:rsidR="009C2F6E" w:rsidRPr="00920966" w:rsidRDefault="009C2F6E" w:rsidP="00920966">
            <w:pPr>
              <w:rPr>
                <w:rFonts w:ascii="Times New Roman" w:hAnsi="Times New Roman" w:cs="Times New Roman"/>
              </w:rPr>
            </w:pPr>
          </w:p>
          <w:p w:rsidR="009C2F6E" w:rsidRPr="000F144D" w:rsidRDefault="009C2F6E" w:rsidP="00920966">
            <w:pPr>
              <w:pStyle w:val="ListParagraph"/>
              <w:numPr>
                <w:ilvl w:val="0"/>
                <w:numId w:val="10"/>
              </w:numPr>
              <w:ind w:left="360"/>
              <w:rPr>
                <w:color w:val="C00000"/>
                <w:sz w:val="22"/>
                <w:szCs w:val="22"/>
              </w:rPr>
            </w:pPr>
            <w:r w:rsidRPr="000F144D">
              <w:rPr>
                <w:color w:val="C00000"/>
                <w:sz w:val="22"/>
                <w:szCs w:val="22"/>
              </w:rPr>
              <w:t>Option 5 – Current membership plus additional federal representative(s) (non-EPA) identified by FLCD. (new option post meeting)</w:t>
            </w:r>
          </w:p>
          <w:p w:rsidR="009C2F6E" w:rsidRPr="00920966" w:rsidRDefault="009C2F6E" w:rsidP="00920966">
            <w:pPr>
              <w:pStyle w:val="ListParagraph"/>
              <w:numPr>
                <w:ilvl w:val="1"/>
                <w:numId w:val="11"/>
              </w:numPr>
              <w:ind w:left="1080"/>
              <w:rPr>
                <w:i/>
                <w:sz w:val="22"/>
                <w:szCs w:val="22"/>
              </w:rPr>
            </w:pPr>
            <w:r w:rsidRPr="00920966">
              <w:rPr>
                <w:i/>
                <w:sz w:val="22"/>
                <w:szCs w:val="22"/>
              </w:rPr>
              <w:lastRenderedPageBreak/>
              <w:t xml:space="preserve">Pro – accomplishes goal of aligning federal agencies’ goals and outcomes and work with those of CBP Partnership members. </w:t>
            </w:r>
          </w:p>
          <w:p w:rsidR="009C2F6E" w:rsidRPr="00920966" w:rsidRDefault="009C2F6E" w:rsidP="00920966">
            <w:pPr>
              <w:pStyle w:val="ListParagraph"/>
              <w:numPr>
                <w:ilvl w:val="1"/>
                <w:numId w:val="11"/>
              </w:numPr>
              <w:ind w:left="1080"/>
              <w:rPr>
                <w:i/>
                <w:sz w:val="22"/>
                <w:szCs w:val="22"/>
              </w:rPr>
            </w:pPr>
            <w:r w:rsidRPr="00920966">
              <w:rPr>
                <w:i/>
                <w:sz w:val="22"/>
                <w:szCs w:val="22"/>
              </w:rPr>
              <w:t>Con –dilutes jurisdictions perspective/votes</w:t>
            </w:r>
          </w:p>
          <w:p w:rsidR="009C2F6E" w:rsidRPr="00920966" w:rsidRDefault="009C2F6E" w:rsidP="00BE00B3">
            <w:pPr>
              <w:rPr>
                <w:rFonts w:ascii="Times New Roman" w:hAnsi="Times New Roman" w:cs="Times New Roman"/>
                <w:u w:val="single"/>
              </w:rPr>
            </w:pPr>
          </w:p>
        </w:tc>
      </w:tr>
      <w:tr w:rsidR="009C2F6E" w:rsidRPr="00920966" w:rsidTr="00C415B2">
        <w:tc>
          <w:tcPr>
            <w:tcW w:w="1672" w:type="dxa"/>
            <w:shd w:val="clear" w:color="auto" w:fill="F2F2F2" w:themeFill="background1" w:themeFillShade="F2"/>
          </w:tcPr>
          <w:p w:rsidR="009C2F6E" w:rsidRPr="00920966" w:rsidRDefault="009F5A62" w:rsidP="00BE00B3">
            <w:pPr>
              <w:rPr>
                <w:rFonts w:ascii="Times New Roman" w:hAnsi="Times New Roman" w:cs="Times New Roman"/>
                <w:u w:val="single"/>
              </w:rPr>
            </w:pPr>
            <w:r>
              <w:rPr>
                <w:rFonts w:ascii="Times New Roman" w:hAnsi="Times New Roman" w:cs="Times New Roman"/>
                <w:u w:val="single"/>
              </w:rPr>
              <w:lastRenderedPageBreak/>
              <w:t>Notes:</w:t>
            </w:r>
          </w:p>
        </w:tc>
        <w:tc>
          <w:tcPr>
            <w:tcW w:w="7436" w:type="dxa"/>
            <w:gridSpan w:val="2"/>
            <w:shd w:val="clear" w:color="auto" w:fill="F2F2F2" w:themeFill="background1" w:themeFillShade="F2"/>
          </w:tcPr>
          <w:p w:rsidR="009C2F6E" w:rsidRPr="00920966" w:rsidRDefault="009C2F6E" w:rsidP="00BE00B3">
            <w:pPr>
              <w:rPr>
                <w:rFonts w:ascii="Times New Roman" w:hAnsi="Times New Roman" w:cs="Times New Roman"/>
                <w:u w:val="single"/>
              </w:rPr>
            </w:pPr>
            <w:r w:rsidRPr="00920966">
              <w:rPr>
                <w:rFonts w:ascii="Times New Roman" w:hAnsi="Times New Roman" w:cs="Times New Roman"/>
                <w:u w:val="single"/>
              </w:rPr>
              <w:t>Goal Teams</w:t>
            </w:r>
            <w:r w:rsidR="004E2F7D" w:rsidRPr="00920966">
              <w:rPr>
                <w:rFonts w:ascii="Times New Roman" w:hAnsi="Times New Roman" w:cs="Times New Roman"/>
                <w:u w:val="single"/>
              </w:rPr>
              <w:t xml:space="preserve"> Options</w:t>
            </w:r>
          </w:p>
          <w:p w:rsidR="009C2F6E" w:rsidRPr="00920966" w:rsidRDefault="009C2F6E" w:rsidP="00920966">
            <w:pPr>
              <w:pStyle w:val="ListParagraph"/>
              <w:numPr>
                <w:ilvl w:val="0"/>
                <w:numId w:val="10"/>
              </w:numPr>
              <w:ind w:left="360"/>
              <w:rPr>
                <w:sz w:val="22"/>
                <w:szCs w:val="22"/>
              </w:rPr>
            </w:pPr>
            <w:r w:rsidRPr="00920966">
              <w:rPr>
                <w:sz w:val="22"/>
                <w:szCs w:val="22"/>
              </w:rPr>
              <w:t xml:space="preserve">Status quo – Open to all willing participants (seniority </w:t>
            </w:r>
            <w:r w:rsidR="00302377" w:rsidRPr="00920966">
              <w:rPr>
                <w:sz w:val="22"/>
                <w:szCs w:val="22"/>
              </w:rPr>
              <w:t>level not</w:t>
            </w:r>
            <w:r w:rsidRPr="00920966">
              <w:rPr>
                <w:sz w:val="22"/>
                <w:szCs w:val="22"/>
              </w:rPr>
              <w:t xml:space="preserve"> specified); all participants have voting privileges. </w:t>
            </w:r>
          </w:p>
          <w:p w:rsidR="009C2F6E" w:rsidRPr="00920966" w:rsidRDefault="009C2F6E" w:rsidP="00920966">
            <w:pPr>
              <w:pStyle w:val="ListParagraph"/>
              <w:ind w:left="360"/>
              <w:rPr>
                <w:sz w:val="22"/>
                <w:szCs w:val="22"/>
              </w:rPr>
            </w:pPr>
          </w:p>
          <w:p w:rsidR="009C2F6E" w:rsidRPr="00920966" w:rsidRDefault="009C2F6E" w:rsidP="00920966">
            <w:pPr>
              <w:pStyle w:val="ListParagraph"/>
              <w:numPr>
                <w:ilvl w:val="0"/>
                <w:numId w:val="10"/>
              </w:numPr>
              <w:ind w:left="360"/>
              <w:rPr>
                <w:sz w:val="22"/>
                <w:szCs w:val="22"/>
              </w:rPr>
            </w:pPr>
            <w:r w:rsidRPr="00920966">
              <w:rPr>
                <w:sz w:val="22"/>
                <w:szCs w:val="22"/>
              </w:rPr>
              <w:t xml:space="preserve">Option 1 </w:t>
            </w:r>
            <w:r w:rsidR="00920966">
              <w:rPr>
                <w:sz w:val="22"/>
                <w:szCs w:val="22"/>
              </w:rPr>
              <w:t>–</w:t>
            </w:r>
            <w:r w:rsidRPr="00920966">
              <w:rPr>
                <w:sz w:val="22"/>
                <w:szCs w:val="22"/>
              </w:rPr>
              <w:t xml:space="preserve"> Open to all participants, but only signatory members have voting privileges.  </w:t>
            </w:r>
          </w:p>
          <w:p w:rsidR="009C2F6E" w:rsidRPr="00920966" w:rsidRDefault="009C2F6E" w:rsidP="00920966">
            <w:pPr>
              <w:pStyle w:val="ListParagraph"/>
              <w:ind w:left="360"/>
              <w:rPr>
                <w:sz w:val="22"/>
                <w:szCs w:val="22"/>
              </w:rPr>
            </w:pPr>
          </w:p>
          <w:p w:rsidR="009C2F6E" w:rsidRPr="00646A69" w:rsidRDefault="009C2F6E" w:rsidP="00646A69">
            <w:pPr>
              <w:pStyle w:val="ListParagraph"/>
              <w:ind w:left="360"/>
              <w:rPr>
                <w:sz w:val="22"/>
                <w:szCs w:val="22"/>
              </w:rPr>
            </w:pPr>
            <w:r w:rsidRPr="00920966">
              <w:rPr>
                <w:sz w:val="22"/>
                <w:szCs w:val="22"/>
              </w:rPr>
              <w:t xml:space="preserve">(GIT6 agreed that the GIT membership structure works well “as is.” Some suggested that there should be some clarity about who membership and makes decisions. GIT 6 members recognized that the GITs should have the broadest range of members to share all perspectives.) </w:t>
            </w:r>
          </w:p>
        </w:tc>
      </w:tr>
      <w:tr w:rsidR="00BE00B3" w:rsidRPr="00920966" w:rsidTr="00C415B2">
        <w:tc>
          <w:tcPr>
            <w:tcW w:w="1672" w:type="dxa"/>
          </w:tcPr>
          <w:p w:rsidR="00BE00B3" w:rsidRPr="00920966" w:rsidRDefault="00BE00B3" w:rsidP="00BE00B3">
            <w:pPr>
              <w:rPr>
                <w:rFonts w:ascii="Times New Roman" w:hAnsi="Times New Roman" w:cs="Times New Roman"/>
                <w:u w:val="single"/>
              </w:rPr>
            </w:pPr>
          </w:p>
        </w:tc>
        <w:tc>
          <w:tcPr>
            <w:tcW w:w="7436" w:type="dxa"/>
            <w:gridSpan w:val="2"/>
          </w:tcPr>
          <w:p w:rsidR="00BE00B3" w:rsidRPr="00920966" w:rsidRDefault="00BE00B3" w:rsidP="00BE00B3">
            <w:pPr>
              <w:rPr>
                <w:rFonts w:ascii="Times New Roman" w:hAnsi="Times New Roman" w:cs="Times New Roman"/>
                <w:u w:val="single"/>
              </w:rPr>
            </w:pPr>
          </w:p>
        </w:tc>
      </w:tr>
      <w:tr w:rsidR="00BE00B3" w:rsidRPr="00920966" w:rsidTr="00A6756C">
        <w:tc>
          <w:tcPr>
            <w:tcW w:w="9108" w:type="dxa"/>
            <w:gridSpan w:val="3"/>
          </w:tcPr>
          <w:p w:rsidR="00934EDC" w:rsidRPr="00920966" w:rsidRDefault="00934EDC" w:rsidP="00BE00B3">
            <w:pPr>
              <w:rPr>
                <w:rFonts w:ascii="Times New Roman" w:hAnsi="Times New Roman" w:cs="Times New Roman"/>
                <w:b/>
                <w:color w:val="365F91" w:themeColor="accent1" w:themeShade="BF"/>
              </w:rPr>
            </w:pPr>
          </w:p>
          <w:p w:rsidR="00BE00B3" w:rsidRPr="00920966" w:rsidRDefault="00BE00B3" w:rsidP="00BE00B3">
            <w:pPr>
              <w:rPr>
                <w:rFonts w:ascii="Times New Roman" w:hAnsi="Times New Roman" w:cs="Times New Roman"/>
                <w:u w:val="single"/>
              </w:rPr>
            </w:pPr>
            <w:r w:rsidRPr="00920966">
              <w:rPr>
                <w:rFonts w:ascii="Times New Roman" w:hAnsi="Times New Roman" w:cs="Times New Roman"/>
                <w:b/>
                <w:color w:val="365F91" w:themeColor="accent1" w:themeShade="BF"/>
              </w:rPr>
              <w:t>Changes to Rules and Procedures</w:t>
            </w:r>
          </w:p>
        </w:tc>
      </w:tr>
      <w:tr w:rsidR="00646A69" w:rsidRPr="00920966" w:rsidTr="00856B83">
        <w:tc>
          <w:tcPr>
            <w:tcW w:w="9108" w:type="dxa"/>
            <w:gridSpan w:val="3"/>
          </w:tcPr>
          <w:p w:rsidR="00646A69" w:rsidRDefault="00646A69" w:rsidP="00920966">
            <w:pPr>
              <w:rPr>
                <w:rFonts w:ascii="Times New Roman" w:hAnsi="Times New Roman" w:cs="Times New Roman"/>
              </w:rPr>
            </w:pPr>
            <w:r w:rsidRPr="00920966">
              <w:rPr>
                <w:rFonts w:ascii="Times New Roman" w:hAnsi="Times New Roman" w:cs="Times New Roman"/>
              </w:rPr>
              <w:t xml:space="preserve">Workgroup looked at options for </w:t>
            </w:r>
            <w:r w:rsidRPr="00646A69">
              <w:rPr>
                <w:rFonts w:ascii="Times New Roman" w:hAnsi="Times New Roman" w:cs="Times New Roman"/>
                <w:i/>
              </w:rPr>
              <w:t>scheduling</w:t>
            </w:r>
            <w:r>
              <w:rPr>
                <w:rFonts w:ascii="Times New Roman" w:hAnsi="Times New Roman" w:cs="Times New Roman"/>
              </w:rPr>
              <w:t xml:space="preserve"> </w:t>
            </w:r>
            <w:r w:rsidRPr="00920966">
              <w:rPr>
                <w:rFonts w:ascii="Times New Roman" w:hAnsi="Times New Roman" w:cs="Times New Roman"/>
              </w:rPr>
              <w:t>adaptive management reviews/regular evaluations of the program strategy and effectiveness</w:t>
            </w:r>
            <w:r>
              <w:rPr>
                <w:rFonts w:ascii="Times New Roman" w:hAnsi="Times New Roman" w:cs="Times New Roman"/>
              </w:rPr>
              <w:t xml:space="preserve">. </w:t>
            </w:r>
          </w:p>
          <w:p w:rsidR="00646A69" w:rsidRPr="00920966" w:rsidRDefault="00646A69" w:rsidP="00934EDC">
            <w:pPr>
              <w:spacing w:line="240" w:lineRule="auto"/>
              <w:jc w:val="both"/>
              <w:rPr>
                <w:rFonts w:ascii="Times New Roman" w:hAnsi="Times New Roman" w:cs="Times New Roman"/>
                <w:u w:val="single"/>
              </w:rPr>
            </w:pPr>
          </w:p>
          <w:p w:rsidR="00646A69" w:rsidRPr="00920966" w:rsidRDefault="00DC1CAC" w:rsidP="00934EDC">
            <w:pPr>
              <w:spacing w:line="240" w:lineRule="auto"/>
              <w:jc w:val="both"/>
              <w:rPr>
                <w:rFonts w:ascii="Times New Roman" w:hAnsi="Times New Roman" w:cs="Times New Roman"/>
              </w:rPr>
            </w:pPr>
            <w:r>
              <w:rPr>
                <w:rFonts w:ascii="Times New Roman" w:hAnsi="Times New Roman" w:cs="Times New Roman"/>
                <w:u w:val="single"/>
              </w:rPr>
              <w:t>Current p</w:t>
            </w:r>
            <w:r w:rsidR="00646A69" w:rsidRPr="00920966">
              <w:rPr>
                <w:rFonts w:ascii="Times New Roman" w:hAnsi="Times New Roman" w:cs="Times New Roman"/>
                <w:u w:val="single"/>
              </w:rPr>
              <w:t>roblem</w:t>
            </w:r>
            <w:r>
              <w:rPr>
                <w:rFonts w:ascii="Times New Roman" w:hAnsi="Times New Roman" w:cs="Times New Roman"/>
                <w:u w:val="single"/>
              </w:rPr>
              <w:t>s/considerations</w:t>
            </w:r>
            <w:r w:rsidR="00646A69" w:rsidRPr="00920966">
              <w:rPr>
                <w:rFonts w:ascii="Times New Roman" w:hAnsi="Times New Roman" w:cs="Times New Roman"/>
              </w:rPr>
              <w:t>:  There is currently no set schedule for adaptive management reviews; often need to scramble to set agendas; unable to fit some issues on agendas for months; no true adaptive management implementation.</w:t>
            </w:r>
          </w:p>
          <w:p w:rsidR="00646A69" w:rsidRDefault="00646A69" w:rsidP="00934EDC">
            <w:pPr>
              <w:spacing w:line="240" w:lineRule="auto"/>
              <w:jc w:val="both"/>
              <w:rPr>
                <w:rFonts w:ascii="Times New Roman" w:hAnsi="Times New Roman" w:cs="Times New Roman"/>
                <w:u w:val="single"/>
              </w:rPr>
            </w:pPr>
          </w:p>
          <w:p w:rsidR="00646A69" w:rsidRPr="002D00F5" w:rsidRDefault="00646A69" w:rsidP="00934EDC">
            <w:pPr>
              <w:spacing w:line="240" w:lineRule="auto"/>
              <w:jc w:val="both"/>
              <w:rPr>
                <w:rFonts w:ascii="Times New Roman" w:hAnsi="Times New Roman" w:cs="Times New Roman"/>
              </w:rPr>
            </w:pPr>
            <w:r w:rsidRPr="00920966">
              <w:rPr>
                <w:rFonts w:ascii="Times New Roman" w:hAnsi="Times New Roman" w:cs="Times New Roman"/>
                <w:u w:val="single"/>
              </w:rPr>
              <w:t>Solution should</w:t>
            </w:r>
            <w:r w:rsidRPr="00920966">
              <w:rPr>
                <w:rFonts w:ascii="Times New Roman" w:hAnsi="Times New Roman" w:cs="Times New Roman"/>
              </w:rPr>
              <w:t>: Set a schedule for annual or bi-annual Strategy &amp; Performance reviews tied to adaptive management;  these report-outs will inform EC/PSC and lead to better &amp; more informed decisions; will help focus GITs’ work and give them built in agenda time to report out; will be easier to predict agendas and prepare materials in advance; will help meet NAS recommendations.</w:t>
            </w:r>
            <w:r w:rsidR="000F6933">
              <w:rPr>
                <w:rFonts w:ascii="Times New Roman" w:hAnsi="Times New Roman" w:cs="Times New Roman"/>
              </w:rPr>
              <w:t xml:space="preserve"> </w:t>
            </w:r>
            <w:r w:rsidR="000F6933" w:rsidRPr="002D00F5">
              <w:rPr>
                <w:rFonts w:ascii="Times New Roman" w:hAnsi="Times New Roman" w:cs="Times New Roman"/>
              </w:rPr>
              <w:t>Will improve support provided to the GITs by the MB.</w:t>
            </w:r>
          </w:p>
          <w:p w:rsidR="00646A69" w:rsidRPr="00920966" w:rsidRDefault="00646A69" w:rsidP="00646A69">
            <w:pPr>
              <w:rPr>
                <w:rFonts w:ascii="Times New Roman" w:hAnsi="Times New Roman" w:cs="Times New Roman"/>
              </w:rPr>
            </w:pPr>
          </w:p>
        </w:tc>
      </w:tr>
      <w:tr w:rsidR="00BE00B3" w:rsidRPr="00920966" w:rsidTr="00C415B2">
        <w:tc>
          <w:tcPr>
            <w:tcW w:w="1672" w:type="dxa"/>
          </w:tcPr>
          <w:p w:rsidR="00BE00B3" w:rsidRPr="00920966" w:rsidRDefault="0024782F" w:rsidP="00BE00B3">
            <w:pPr>
              <w:rPr>
                <w:rFonts w:ascii="Times New Roman" w:hAnsi="Times New Roman" w:cs="Times New Roman"/>
                <w:u w:val="single"/>
              </w:rPr>
            </w:pPr>
            <w:r>
              <w:rPr>
                <w:rFonts w:ascii="Times New Roman" w:hAnsi="Times New Roman" w:cs="Times New Roman"/>
                <w:u w:val="single"/>
              </w:rPr>
              <w:t>Notes:</w:t>
            </w:r>
          </w:p>
        </w:tc>
        <w:tc>
          <w:tcPr>
            <w:tcW w:w="7436" w:type="dxa"/>
            <w:gridSpan w:val="2"/>
          </w:tcPr>
          <w:p w:rsidR="00A35380" w:rsidRPr="00A37C6A" w:rsidRDefault="00A35380" w:rsidP="00A35380">
            <w:pPr>
              <w:rPr>
                <w:rFonts w:ascii="Times New Roman" w:hAnsi="Times New Roman" w:cs="Times New Roman"/>
                <w:u w:val="single"/>
              </w:rPr>
            </w:pPr>
            <w:r w:rsidRPr="00A37C6A">
              <w:rPr>
                <w:rFonts w:ascii="Times New Roman" w:hAnsi="Times New Roman" w:cs="Times New Roman"/>
                <w:u w:val="single"/>
              </w:rPr>
              <w:t>Options for scheduling adaptive management reviews</w:t>
            </w:r>
          </w:p>
          <w:p w:rsidR="00A35380" w:rsidRPr="00A37C6A" w:rsidRDefault="00A35380" w:rsidP="00A35380">
            <w:pPr>
              <w:rPr>
                <w:rFonts w:ascii="Times New Roman" w:hAnsi="Times New Roman" w:cs="Times New Roman"/>
                <w:u w:val="single"/>
              </w:rPr>
            </w:pPr>
          </w:p>
          <w:p w:rsidR="00A37C6A" w:rsidRPr="00A37C6A" w:rsidRDefault="00A37C6A" w:rsidP="00A37C6A">
            <w:pPr>
              <w:pStyle w:val="ListParagraph"/>
              <w:numPr>
                <w:ilvl w:val="0"/>
                <w:numId w:val="10"/>
              </w:numPr>
              <w:ind w:left="360"/>
              <w:rPr>
                <w:sz w:val="22"/>
                <w:szCs w:val="22"/>
              </w:rPr>
            </w:pPr>
            <w:r w:rsidRPr="00A37C6A">
              <w:rPr>
                <w:sz w:val="22"/>
                <w:szCs w:val="22"/>
              </w:rPr>
              <w:t xml:space="preserve">Status quo – </w:t>
            </w:r>
            <w:r w:rsidR="00655318" w:rsidRPr="002D00F5">
              <w:rPr>
                <w:sz w:val="22"/>
                <w:szCs w:val="22"/>
              </w:rPr>
              <w:t>No set review or report-</w:t>
            </w:r>
            <w:r w:rsidR="008877B3" w:rsidRPr="002D00F5">
              <w:rPr>
                <w:sz w:val="22"/>
                <w:szCs w:val="22"/>
              </w:rPr>
              <w:t xml:space="preserve">out </w:t>
            </w:r>
            <w:r w:rsidR="00725A5A" w:rsidRPr="002D00F5">
              <w:rPr>
                <w:sz w:val="22"/>
                <w:szCs w:val="22"/>
              </w:rPr>
              <w:t>schedule</w:t>
            </w:r>
            <w:r w:rsidR="008877B3" w:rsidRPr="002D00F5">
              <w:rPr>
                <w:sz w:val="22"/>
                <w:szCs w:val="22"/>
              </w:rPr>
              <w:t>.</w:t>
            </w:r>
          </w:p>
          <w:p w:rsidR="00943D47" w:rsidRPr="00A37C6A" w:rsidRDefault="00943D47" w:rsidP="00A35380">
            <w:pPr>
              <w:rPr>
                <w:rFonts w:ascii="Times New Roman" w:hAnsi="Times New Roman" w:cs="Times New Roman"/>
                <w:u w:val="single"/>
              </w:rPr>
            </w:pPr>
          </w:p>
          <w:p w:rsidR="00BE00B3" w:rsidRPr="00A37C6A" w:rsidRDefault="008913E4" w:rsidP="00A35380">
            <w:pPr>
              <w:pStyle w:val="ListParagraph"/>
              <w:numPr>
                <w:ilvl w:val="0"/>
                <w:numId w:val="10"/>
              </w:numPr>
              <w:ind w:left="360"/>
              <w:rPr>
                <w:b/>
                <w:sz w:val="22"/>
                <w:szCs w:val="22"/>
              </w:rPr>
            </w:pPr>
            <w:r>
              <w:rPr>
                <w:sz w:val="22"/>
                <w:szCs w:val="22"/>
              </w:rPr>
              <w:t xml:space="preserve">Option 1: </w:t>
            </w:r>
            <w:r w:rsidR="00DF71E3">
              <w:rPr>
                <w:sz w:val="22"/>
                <w:szCs w:val="22"/>
              </w:rPr>
              <w:t>Annual Cycle</w:t>
            </w:r>
            <w:r w:rsidR="005B2890">
              <w:rPr>
                <w:sz w:val="22"/>
                <w:szCs w:val="22"/>
              </w:rPr>
              <w:t xml:space="preserve"> - </w:t>
            </w:r>
            <w:r>
              <w:rPr>
                <w:sz w:val="22"/>
                <w:szCs w:val="22"/>
              </w:rPr>
              <w:t>GITs on same</w:t>
            </w:r>
            <w:r w:rsidR="00AC6BF5">
              <w:rPr>
                <w:sz w:val="22"/>
                <w:szCs w:val="22"/>
              </w:rPr>
              <w:t xml:space="preserve"> </w:t>
            </w:r>
            <w:r w:rsidR="00E40B51">
              <w:rPr>
                <w:sz w:val="22"/>
                <w:szCs w:val="22"/>
              </w:rPr>
              <w:t xml:space="preserve">quarterly </w:t>
            </w:r>
            <w:r w:rsidR="007219C9">
              <w:rPr>
                <w:sz w:val="22"/>
                <w:szCs w:val="22"/>
              </w:rPr>
              <w:t>schedule</w:t>
            </w:r>
            <w:r>
              <w:rPr>
                <w:sz w:val="22"/>
                <w:szCs w:val="22"/>
              </w:rPr>
              <w:t xml:space="preserve"> for strategy development and progress reporting</w:t>
            </w:r>
            <w:r w:rsidR="00934EDC" w:rsidRPr="00A37C6A">
              <w:rPr>
                <w:b/>
                <w:sz w:val="22"/>
                <w:szCs w:val="22"/>
              </w:rPr>
              <w:t xml:space="preserve"> </w:t>
            </w:r>
            <w:r w:rsidR="00934EDC" w:rsidRPr="00A37C6A">
              <w:rPr>
                <w:color w:val="FF0000"/>
                <w:sz w:val="22"/>
                <w:szCs w:val="22"/>
              </w:rPr>
              <w:t>(</w:t>
            </w:r>
            <w:r w:rsidR="00433960">
              <w:rPr>
                <w:color w:val="FF0000"/>
                <w:sz w:val="22"/>
                <w:szCs w:val="22"/>
              </w:rPr>
              <w:t>s</w:t>
            </w:r>
            <w:r w:rsidR="00934EDC" w:rsidRPr="00A37C6A">
              <w:rPr>
                <w:color w:val="FF0000"/>
                <w:sz w:val="22"/>
                <w:szCs w:val="22"/>
              </w:rPr>
              <w:t>ee diagram below)</w:t>
            </w:r>
          </w:p>
          <w:p w:rsidR="00934EDC" w:rsidRPr="00A37C6A" w:rsidRDefault="00934EDC" w:rsidP="00934EDC">
            <w:pPr>
              <w:pStyle w:val="ListParagraph"/>
              <w:numPr>
                <w:ilvl w:val="1"/>
                <w:numId w:val="11"/>
              </w:numPr>
              <w:rPr>
                <w:i/>
                <w:sz w:val="22"/>
                <w:szCs w:val="22"/>
              </w:rPr>
            </w:pPr>
            <w:r w:rsidRPr="00A37C6A">
              <w:rPr>
                <w:i/>
                <w:sz w:val="22"/>
                <w:szCs w:val="22"/>
              </w:rPr>
              <w:t>Pro – Strategic synergy</w:t>
            </w:r>
          </w:p>
          <w:p w:rsidR="00934EDC" w:rsidRPr="00A37C6A" w:rsidRDefault="00934EDC" w:rsidP="00934EDC">
            <w:pPr>
              <w:pStyle w:val="ListParagraph"/>
              <w:numPr>
                <w:ilvl w:val="1"/>
                <w:numId w:val="11"/>
              </w:numPr>
              <w:rPr>
                <w:i/>
                <w:sz w:val="22"/>
                <w:szCs w:val="22"/>
              </w:rPr>
            </w:pPr>
            <w:r w:rsidRPr="00A37C6A">
              <w:rPr>
                <w:i/>
                <w:sz w:val="22"/>
                <w:szCs w:val="22"/>
              </w:rPr>
              <w:t>Con – data lags</w:t>
            </w:r>
          </w:p>
          <w:p w:rsidR="00A35380" w:rsidRPr="00A37C6A" w:rsidRDefault="00A35380" w:rsidP="00A35380">
            <w:pPr>
              <w:pStyle w:val="ListParagraph"/>
              <w:ind w:left="1440"/>
              <w:rPr>
                <w:i/>
                <w:sz w:val="22"/>
                <w:szCs w:val="22"/>
              </w:rPr>
            </w:pPr>
          </w:p>
          <w:p w:rsidR="00A35380" w:rsidRPr="00A37C6A" w:rsidRDefault="00A35380" w:rsidP="00A35380">
            <w:pPr>
              <w:pStyle w:val="ListParagraph"/>
              <w:numPr>
                <w:ilvl w:val="0"/>
                <w:numId w:val="10"/>
              </w:numPr>
              <w:ind w:left="360"/>
              <w:rPr>
                <w:b/>
                <w:sz w:val="22"/>
                <w:szCs w:val="22"/>
              </w:rPr>
            </w:pPr>
            <w:r w:rsidRPr="00A37C6A">
              <w:rPr>
                <w:sz w:val="22"/>
                <w:szCs w:val="22"/>
              </w:rPr>
              <w:t xml:space="preserve">Option 2: </w:t>
            </w:r>
            <w:r w:rsidR="007A7453">
              <w:rPr>
                <w:sz w:val="22"/>
                <w:szCs w:val="22"/>
              </w:rPr>
              <w:t xml:space="preserve">Annual Cycle - </w:t>
            </w:r>
            <w:r w:rsidRPr="00A37C6A">
              <w:rPr>
                <w:sz w:val="22"/>
                <w:szCs w:val="22"/>
              </w:rPr>
              <w:t xml:space="preserve">GITs on </w:t>
            </w:r>
            <w:r w:rsidR="00AA4E94">
              <w:rPr>
                <w:sz w:val="22"/>
                <w:szCs w:val="22"/>
              </w:rPr>
              <w:t>quarterly</w:t>
            </w:r>
            <w:r w:rsidR="00AF063F">
              <w:rPr>
                <w:sz w:val="22"/>
                <w:szCs w:val="22"/>
              </w:rPr>
              <w:t xml:space="preserve"> </w:t>
            </w:r>
            <w:r w:rsidR="001F27A4">
              <w:rPr>
                <w:sz w:val="22"/>
                <w:szCs w:val="22"/>
              </w:rPr>
              <w:t>schedule for strategy development and progress reporting</w:t>
            </w:r>
            <w:r w:rsidR="00B10AB2">
              <w:rPr>
                <w:sz w:val="22"/>
                <w:szCs w:val="22"/>
              </w:rPr>
              <w:t>;</w:t>
            </w:r>
            <w:r w:rsidR="00AF063F">
              <w:rPr>
                <w:sz w:val="22"/>
                <w:szCs w:val="22"/>
              </w:rPr>
              <w:t xml:space="preserve"> but allowance for </w:t>
            </w:r>
            <w:r w:rsidR="005A2B72">
              <w:rPr>
                <w:sz w:val="22"/>
                <w:szCs w:val="22"/>
              </w:rPr>
              <w:t xml:space="preserve">flexible </w:t>
            </w:r>
            <w:r w:rsidR="006F166F">
              <w:rPr>
                <w:sz w:val="22"/>
                <w:szCs w:val="22"/>
              </w:rPr>
              <w:t>strategy development and progress reporting timing</w:t>
            </w:r>
            <w:r w:rsidR="00AF063F">
              <w:rPr>
                <w:sz w:val="22"/>
                <w:szCs w:val="22"/>
              </w:rPr>
              <w:t xml:space="preserve"> </w:t>
            </w:r>
            <w:r w:rsidRPr="00A37C6A">
              <w:rPr>
                <w:b/>
                <w:sz w:val="22"/>
                <w:szCs w:val="22"/>
              </w:rPr>
              <w:t xml:space="preserve"> </w:t>
            </w:r>
            <w:r w:rsidRPr="00A37C6A">
              <w:rPr>
                <w:color w:val="FF0000"/>
                <w:sz w:val="22"/>
                <w:szCs w:val="22"/>
              </w:rPr>
              <w:t>(</w:t>
            </w:r>
            <w:r w:rsidR="00433960">
              <w:rPr>
                <w:color w:val="FF0000"/>
                <w:sz w:val="22"/>
                <w:szCs w:val="22"/>
              </w:rPr>
              <w:t>s</w:t>
            </w:r>
            <w:r w:rsidRPr="00A37C6A">
              <w:rPr>
                <w:color w:val="FF0000"/>
                <w:sz w:val="22"/>
                <w:szCs w:val="22"/>
              </w:rPr>
              <w:t>ee diagram below)</w:t>
            </w:r>
          </w:p>
          <w:p w:rsidR="00A35380" w:rsidRPr="00A37C6A" w:rsidRDefault="00A35380" w:rsidP="00A35380">
            <w:pPr>
              <w:pStyle w:val="ListParagraph"/>
              <w:numPr>
                <w:ilvl w:val="1"/>
                <w:numId w:val="11"/>
              </w:numPr>
              <w:rPr>
                <w:i/>
                <w:sz w:val="22"/>
                <w:szCs w:val="22"/>
              </w:rPr>
            </w:pPr>
            <w:r w:rsidRPr="00A37C6A">
              <w:rPr>
                <w:i/>
                <w:sz w:val="22"/>
                <w:szCs w:val="22"/>
              </w:rPr>
              <w:t>Pro – Flexible</w:t>
            </w:r>
          </w:p>
          <w:p w:rsidR="00934EDC" w:rsidRPr="00A35380" w:rsidRDefault="00A35380" w:rsidP="00A35380">
            <w:pPr>
              <w:pStyle w:val="ListParagraph"/>
              <w:numPr>
                <w:ilvl w:val="1"/>
                <w:numId w:val="11"/>
              </w:numPr>
              <w:rPr>
                <w:i/>
                <w:sz w:val="22"/>
                <w:szCs w:val="22"/>
              </w:rPr>
            </w:pPr>
            <w:r w:rsidRPr="00A37C6A">
              <w:rPr>
                <w:i/>
                <w:sz w:val="22"/>
                <w:szCs w:val="22"/>
              </w:rPr>
              <w:t>Con – Less synergy or no synergy</w:t>
            </w:r>
          </w:p>
        </w:tc>
      </w:tr>
      <w:tr w:rsidR="00BE00B3" w:rsidRPr="00920966" w:rsidTr="00C415B2">
        <w:tc>
          <w:tcPr>
            <w:tcW w:w="1672" w:type="dxa"/>
          </w:tcPr>
          <w:p w:rsidR="00BE00B3" w:rsidRPr="00920966" w:rsidRDefault="00BE00B3" w:rsidP="00BE00B3">
            <w:pPr>
              <w:rPr>
                <w:rFonts w:ascii="Times New Roman" w:hAnsi="Times New Roman" w:cs="Times New Roman"/>
                <w:u w:val="single"/>
              </w:rPr>
            </w:pPr>
          </w:p>
        </w:tc>
        <w:tc>
          <w:tcPr>
            <w:tcW w:w="7436" w:type="dxa"/>
            <w:gridSpan w:val="2"/>
          </w:tcPr>
          <w:p w:rsidR="00BE00B3" w:rsidRPr="00920966" w:rsidRDefault="00BE00B3" w:rsidP="00A35380">
            <w:pPr>
              <w:pStyle w:val="ListParagraph"/>
              <w:ind w:left="1440"/>
              <w:rPr>
                <w:i/>
                <w:sz w:val="22"/>
                <w:szCs w:val="22"/>
              </w:rPr>
            </w:pPr>
          </w:p>
        </w:tc>
      </w:tr>
      <w:tr w:rsidR="00646A69" w:rsidRPr="00920966" w:rsidTr="00B97976">
        <w:tc>
          <w:tcPr>
            <w:tcW w:w="9108" w:type="dxa"/>
            <w:gridSpan w:val="3"/>
          </w:tcPr>
          <w:p w:rsidR="00646A69" w:rsidRDefault="00313CF2" w:rsidP="00BE00B3">
            <w:pPr>
              <w:rPr>
                <w:rFonts w:ascii="Times New Roman" w:hAnsi="Times New Roman" w:cs="Times New Roman"/>
                <w:u w:val="single"/>
              </w:rPr>
            </w:pPr>
            <w:r w:rsidRPr="00313CF2">
              <w:rPr>
                <w:rFonts w:ascii="Times New Roman" w:hAnsi="Times New Roman" w:cs="Times New Roman"/>
                <w:noProof/>
                <w:u w:val="single"/>
              </w:rPr>
              <w:drawing>
                <wp:inline distT="0" distB="0" distL="0" distR="0">
                  <wp:extent cx="5685183" cy="3347499"/>
                  <wp:effectExtent l="0" t="0" r="0" b="0"/>
                  <wp:docPr id="7" name="Objec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450262" cy="4227512"/>
                            <a:chOff x="228600" y="2438400"/>
                            <a:chExt cx="8450262" cy="4227512"/>
                          </a:xfrm>
                        </a:grpSpPr>
                        <a:grpSp>
                          <a:nvGrpSpPr>
                            <a:cNvPr id="68" name="Group 67"/>
                            <a:cNvGrpSpPr/>
                          </a:nvGrpSpPr>
                          <a:grpSpPr>
                            <a:xfrm>
                              <a:off x="228600" y="2438400"/>
                              <a:ext cx="8450262" cy="4227512"/>
                              <a:chOff x="236538" y="2493963"/>
                              <a:chExt cx="8529637" cy="4227512"/>
                            </a:xfrm>
                          </a:grpSpPr>
                          <a:sp>
                            <a:nvSpPr>
                              <a:cNvPr id="2050" name="Line 4"/>
                              <a:cNvSpPr>
                                <a:spLocks noChangeShapeType="1"/>
                              </a:cNvSpPr>
                            </a:nvSpPr>
                            <a:spPr bwMode="auto">
                              <a:xfrm flipV="1">
                                <a:off x="990600" y="3276600"/>
                                <a:ext cx="0" cy="246063"/>
                              </a:xfrm>
                              <a:prstGeom prst="line">
                                <a:avLst/>
                              </a:prstGeom>
                              <a:noFill/>
                              <a:ln w="9525">
                                <a:solidFill>
                                  <a:schemeClr val="tx1"/>
                                </a:solidFill>
                                <a:round/>
                                <a:headEnd/>
                                <a:tailEnd/>
                              </a:ln>
                            </a:spPr>
                            <a:txSp>
                              <a:txBody>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endParaRPr lang="en-US"/>
                                </a:p>
                              </a:txBody>
                              <a:useSpRect/>
                            </a:txSp>
                          </a:sp>
                          <a:sp>
                            <a:nvSpPr>
                              <a:cNvPr id="2051" name="Line 5"/>
                              <a:cNvSpPr>
                                <a:spLocks noChangeShapeType="1"/>
                              </a:cNvSpPr>
                            </a:nvSpPr>
                            <a:spPr bwMode="auto">
                              <a:xfrm>
                                <a:off x="990600" y="3278188"/>
                                <a:ext cx="7010400" cy="0"/>
                              </a:xfrm>
                              <a:prstGeom prst="line">
                                <a:avLst/>
                              </a:prstGeom>
                              <a:noFill/>
                              <a:ln w="9525">
                                <a:solidFill>
                                  <a:schemeClr val="tx1"/>
                                </a:solidFill>
                                <a:round/>
                                <a:headEnd/>
                                <a:tailEnd/>
                              </a:ln>
                            </a:spPr>
                            <a:txSp>
                              <a:txBody>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endParaRPr lang="en-US"/>
                                </a:p>
                              </a:txBody>
                              <a:useSpRect/>
                            </a:txSp>
                          </a:sp>
                          <a:sp>
                            <a:nvSpPr>
                              <a:cNvPr id="2052" name="Line 6"/>
                              <a:cNvSpPr>
                                <a:spLocks noChangeShapeType="1"/>
                              </a:cNvSpPr>
                            </a:nvSpPr>
                            <a:spPr bwMode="auto">
                              <a:xfrm>
                                <a:off x="8001000" y="3276600"/>
                                <a:ext cx="0" cy="381000"/>
                              </a:xfrm>
                              <a:prstGeom prst="line">
                                <a:avLst/>
                              </a:prstGeom>
                              <a:noFill/>
                              <a:ln w="9525">
                                <a:solidFill>
                                  <a:schemeClr val="tx1"/>
                                </a:solidFill>
                                <a:round/>
                                <a:headEnd/>
                                <a:tailEnd/>
                              </a:ln>
                            </a:spPr>
                            <a:txSp>
                              <a:txBody>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endParaRPr lang="en-US"/>
                                </a:p>
                              </a:txBody>
                              <a:useSpRect/>
                            </a:txSp>
                          </a:sp>
                          <a:sp>
                            <a:nvSpPr>
                              <a:cNvPr id="2053" name="Line 8"/>
                              <a:cNvSpPr>
                                <a:spLocks noChangeShapeType="1"/>
                              </a:cNvSpPr>
                            </a:nvSpPr>
                            <a:spPr bwMode="auto">
                              <a:xfrm>
                                <a:off x="2798763" y="3276600"/>
                                <a:ext cx="0" cy="246063"/>
                              </a:xfrm>
                              <a:prstGeom prst="line">
                                <a:avLst/>
                              </a:prstGeom>
                              <a:noFill/>
                              <a:ln w="9525">
                                <a:solidFill>
                                  <a:schemeClr val="tx1"/>
                                </a:solidFill>
                                <a:round/>
                                <a:headEnd/>
                                <a:tailEnd/>
                              </a:ln>
                            </a:spPr>
                            <a:txSp>
                              <a:txBody>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endParaRPr lang="en-US"/>
                                </a:p>
                              </a:txBody>
                              <a:useSpRect/>
                            </a:txSp>
                          </a:sp>
                          <a:sp>
                            <a:nvSpPr>
                              <a:cNvPr id="2054" name="Line 9"/>
                              <a:cNvSpPr>
                                <a:spLocks noChangeShapeType="1"/>
                              </a:cNvSpPr>
                            </a:nvSpPr>
                            <a:spPr bwMode="auto">
                              <a:xfrm>
                                <a:off x="6324600" y="3276600"/>
                                <a:ext cx="0" cy="304800"/>
                              </a:xfrm>
                              <a:prstGeom prst="line">
                                <a:avLst/>
                              </a:prstGeom>
                              <a:noFill/>
                              <a:ln w="9525">
                                <a:solidFill>
                                  <a:schemeClr val="tx1"/>
                                </a:solidFill>
                                <a:round/>
                                <a:headEnd/>
                                <a:tailEnd/>
                              </a:ln>
                            </a:spPr>
                            <a:txSp>
                              <a:txBody>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endParaRPr lang="en-US"/>
                                </a:p>
                              </a:txBody>
                              <a:useSpRect/>
                            </a:txSp>
                          </a:sp>
                          <a:sp>
                            <a:nvSpPr>
                              <a:cNvPr id="2055" name="Text Box 11"/>
                              <a:cNvSpPr txBox="1">
                                <a:spLocks noChangeArrowheads="1"/>
                              </a:cNvSpPr>
                            </a:nvSpPr>
                            <a:spPr bwMode="auto">
                              <a:xfrm>
                                <a:off x="4191000" y="3733800"/>
                                <a:ext cx="184150" cy="366713"/>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endParaRPr lang="en-US" sz="1800" b="0"/>
                                </a:p>
                              </a:txBody>
                              <a:useSpRect/>
                            </a:txSp>
                          </a:sp>
                          <a:sp>
                            <a:nvSpPr>
                              <a:cNvPr id="2056" name="Line 13"/>
                              <a:cNvSpPr>
                                <a:spLocks noChangeShapeType="1"/>
                              </a:cNvSpPr>
                            </a:nvSpPr>
                            <a:spPr bwMode="auto">
                              <a:xfrm>
                                <a:off x="1905000" y="3294063"/>
                                <a:ext cx="0" cy="304800"/>
                              </a:xfrm>
                              <a:prstGeom prst="line">
                                <a:avLst/>
                              </a:prstGeom>
                              <a:noFill/>
                              <a:ln w="9525">
                                <a:solidFill>
                                  <a:schemeClr val="tx1"/>
                                </a:solidFill>
                                <a:round/>
                                <a:headEnd/>
                                <a:tailEnd/>
                              </a:ln>
                            </a:spPr>
                            <a:txSp>
                              <a:txBody>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endParaRPr lang="en-US"/>
                                </a:p>
                              </a:txBody>
                              <a:useSpRect/>
                            </a:txSp>
                          </a:sp>
                          <a:sp>
                            <a:nvSpPr>
                              <a:cNvPr id="2057" name="Oval 14"/>
                              <a:cNvSpPr>
                                <a:spLocks noChangeArrowheads="1"/>
                              </a:cNvSpPr>
                            </a:nvSpPr>
                            <a:spPr bwMode="auto">
                              <a:xfrm>
                                <a:off x="1828800" y="3598863"/>
                                <a:ext cx="152400" cy="152400"/>
                              </a:xfrm>
                              <a:prstGeom prst="ellipse">
                                <a:avLst/>
                              </a:prstGeom>
                              <a:solidFill>
                                <a:schemeClr val="accent1"/>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endParaRPr lang="en-US"/>
                                </a:p>
                              </a:txBody>
                              <a:useSpRect/>
                            </a:txSp>
                          </a:sp>
                          <a:sp>
                            <a:nvSpPr>
                              <a:cNvPr id="2058" name="Line 16"/>
                              <a:cNvSpPr>
                                <a:spLocks noChangeShapeType="1"/>
                              </a:cNvSpPr>
                            </a:nvSpPr>
                            <a:spPr bwMode="auto">
                              <a:xfrm>
                                <a:off x="3657600" y="3294063"/>
                                <a:ext cx="0" cy="304800"/>
                              </a:xfrm>
                              <a:prstGeom prst="line">
                                <a:avLst/>
                              </a:prstGeom>
                              <a:noFill/>
                              <a:ln w="9525">
                                <a:solidFill>
                                  <a:schemeClr val="tx1"/>
                                </a:solidFill>
                                <a:round/>
                                <a:headEnd/>
                                <a:tailEnd/>
                              </a:ln>
                            </a:spPr>
                            <a:txSp>
                              <a:txBody>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endParaRPr lang="en-US"/>
                                </a:p>
                              </a:txBody>
                              <a:useSpRect/>
                            </a:txSp>
                          </a:sp>
                          <a:sp>
                            <a:nvSpPr>
                              <a:cNvPr id="2059" name="Line 18"/>
                              <a:cNvSpPr>
                                <a:spLocks noChangeShapeType="1"/>
                              </a:cNvSpPr>
                            </a:nvSpPr>
                            <a:spPr bwMode="auto">
                              <a:xfrm>
                                <a:off x="5486400" y="3294063"/>
                                <a:ext cx="0" cy="304800"/>
                              </a:xfrm>
                              <a:prstGeom prst="line">
                                <a:avLst/>
                              </a:prstGeom>
                              <a:noFill/>
                              <a:ln w="9525">
                                <a:solidFill>
                                  <a:schemeClr val="tx1"/>
                                </a:solidFill>
                                <a:round/>
                                <a:headEnd/>
                                <a:tailEnd/>
                              </a:ln>
                            </a:spPr>
                            <a:txSp>
                              <a:txBody>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endParaRPr lang="en-US"/>
                                </a:p>
                              </a:txBody>
                              <a:useSpRect/>
                            </a:txSp>
                          </a:sp>
                          <a:sp>
                            <a:nvSpPr>
                              <a:cNvPr id="2060" name="Line 20"/>
                              <a:cNvSpPr>
                                <a:spLocks noChangeShapeType="1"/>
                              </a:cNvSpPr>
                            </a:nvSpPr>
                            <a:spPr bwMode="auto">
                              <a:xfrm>
                                <a:off x="7162800" y="3294063"/>
                                <a:ext cx="0" cy="304800"/>
                              </a:xfrm>
                              <a:prstGeom prst="line">
                                <a:avLst/>
                              </a:prstGeom>
                              <a:noFill/>
                              <a:ln w="9525">
                                <a:solidFill>
                                  <a:schemeClr val="tx1"/>
                                </a:solidFill>
                                <a:round/>
                                <a:headEnd/>
                                <a:tailEnd/>
                              </a:ln>
                            </a:spPr>
                            <a:txSp>
                              <a:txBody>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endParaRPr lang="en-US"/>
                                </a:p>
                              </a:txBody>
                              <a:useSpRect/>
                            </a:txSp>
                          </a:sp>
                          <a:sp>
                            <a:nvSpPr>
                              <a:cNvPr id="2061" name="Oval 23"/>
                              <a:cNvSpPr>
                                <a:spLocks noChangeArrowheads="1"/>
                              </a:cNvSpPr>
                            </a:nvSpPr>
                            <a:spPr bwMode="auto">
                              <a:xfrm>
                                <a:off x="3581400" y="3598863"/>
                                <a:ext cx="152400" cy="152400"/>
                              </a:xfrm>
                              <a:prstGeom prst="ellipse">
                                <a:avLst/>
                              </a:prstGeom>
                              <a:solidFill>
                                <a:schemeClr val="accent1"/>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endParaRPr lang="en-US"/>
                                </a:p>
                              </a:txBody>
                              <a:useSpRect/>
                            </a:txSp>
                          </a:sp>
                          <a:sp>
                            <a:nvSpPr>
                              <a:cNvPr id="2062" name="Oval 25"/>
                              <a:cNvSpPr>
                                <a:spLocks noChangeArrowheads="1"/>
                              </a:cNvSpPr>
                            </a:nvSpPr>
                            <a:spPr bwMode="auto">
                              <a:xfrm>
                                <a:off x="5410200" y="3598863"/>
                                <a:ext cx="152400" cy="152400"/>
                              </a:xfrm>
                              <a:prstGeom prst="ellipse">
                                <a:avLst/>
                              </a:prstGeom>
                              <a:solidFill>
                                <a:schemeClr val="accent1"/>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endParaRPr lang="en-US"/>
                                </a:p>
                              </a:txBody>
                              <a:useSpRect/>
                            </a:txSp>
                          </a:sp>
                          <a:sp>
                            <a:nvSpPr>
                              <a:cNvPr id="2063" name="Oval 27"/>
                              <a:cNvSpPr>
                                <a:spLocks noChangeArrowheads="1"/>
                              </a:cNvSpPr>
                            </a:nvSpPr>
                            <a:spPr bwMode="auto">
                              <a:xfrm>
                                <a:off x="7086600" y="3598863"/>
                                <a:ext cx="152400" cy="152400"/>
                              </a:xfrm>
                              <a:prstGeom prst="ellipse">
                                <a:avLst/>
                              </a:prstGeom>
                              <a:solidFill>
                                <a:schemeClr val="accent1"/>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endParaRPr lang="en-US"/>
                                </a:p>
                              </a:txBody>
                              <a:useSpRect/>
                            </a:txSp>
                          </a:sp>
                          <a:sp>
                            <a:nvSpPr>
                              <a:cNvPr id="2064" name="Text Box 29"/>
                              <a:cNvSpPr txBox="1">
                                <a:spLocks noChangeArrowheads="1"/>
                              </a:cNvSpPr>
                            </a:nvSpPr>
                            <a:spPr bwMode="auto">
                              <a:xfrm>
                                <a:off x="1447800" y="2919413"/>
                                <a:ext cx="487363" cy="274637"/>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r>
                                    <a:rPr lang="en-US" b="0"/>
                                    <a:t>April</a:t>
                                  </a:r>
                                </a:p>
                              </a:txBody>
                              <a:useSpRect/>
                            </a:txSp>
                          </a:sp>
                          <a:sp>
                            <a:nvSpPr>
                              <a:cNvPr id="2065" name="Text Box 30"/>
                              <a:cNvSpPr txBox="1">
                                <a:spLocks noChangeArrowheads="1"/>
                              </a:cNvSpPr>
                            </a:nvSpPr>
                            <a:spPr bwMode="auto">
                              <a:xfrm>
                                <a:off x="790575" y="2921000"/>
                                <a:ext cx="606425" cy="27463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r>
                                    <a:rPr lang="en-US" b="0"/>
                                    <a:t>March</a:t>
                                  </a:r>
                                </a:p>
                              </a:txBody>
                              <a:useSpRect/>
                            </a:txSp>
                          </a:sp>
                          <a:sp>
                            <a:nvSpPr>
                              <a:cNvPr id="2066" name="Text Box 31"/>
                              <a:cNvSpPr txBox="1">
                                <a:spLocks noChangeArrowheads="1"/>
                              </a:cNvSpPr>
                            </a:nvSpPr>
                            <a:spPr bwMode="auto">
                              <a:xfrm>
                                <a:off x="2487613" y="2919413"/>
                                <a:ext cx="512762" cy="274637"/>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r>
                                    <a:rPr lang="en-US" b="0"/>
                                    <a:t>June</a:t>
                                  </a:r>
                                </a:p>
                              </a:txBody>
                              <a:useSpRect/>
                            </a:txSp>
                          </a:sp>
                          <a:sp>
                            <a:nvSpPr>
                              <a:cNvPr id="2067" name="Text Box 32"/>
                              <a:cNvSpPr txBox="1">
                                <a:spLocks noChangeArrowheads="1"/>
                              </a:cNvSpPr>
                            </a:nvSpPr>
                            <a:spPr bwMode="auto">
                              <a:xfrm>
                                <a:off x="1952625" y="2913063"/>
                                <a:ext cx="471488" cy="274637"/>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r>
                                    <a:rPr lang="en-US" b="0"/>
                                    <a:t>May</a:t>
                                  </a:r>
                                </a:p>
                              </a:txBody>
                              <a:useSpRect/>
                            </a:txSp>
                          </a:sp>
                          <a:sp>
                            <a:nvSpPr>
                              <a:cNvPr id="2068" name="Text Box 33"/>
                              <a:cNvSpPr txBox="1">
                                <a:spLocks noChangeArrowheads="1"/>
                              </a:cNvSpPr>
                            </a:nvSpPr>
                            <a:spPr bwMode="auto">
                              <a:xfrm>
                                <a:off x="3695700" y="2895600"/>
                                <a:ext cx="657225" cy="27463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r>
                                    <a:rPr lang="en-US" b="0"/>
                                    <a:t>August</a:t>
                                  </a:r>
                                </a:p>
                              </a:txBody>
                              <a:useSpRect/>
                            </a:txSp>
                          </a:sp>
                          <a:sp>
                            <a:nvSpPr>
                              <a:cNvPr id="2069" name="Text Box 34"/>
                              <a:cNvSpPr txBox="1">
                                <a:spLocks noChangeArrowheads="1"/>
                              </a:cNvSpPr>
                            </a:nvSpPr>
                            <a:spPr bwMode="auto">
                              <a:xfrm>
                                <a:off x="3155950" y="2913063"/>
                                <a:ext cx="454025" cy="274637"/>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r>
                                    <a:rPr lang="en-US" b="0"/>
                                    <a:t>July</a:t>
                                  </a:r>
                                </a:p>
                              </a:txBody>
                              <a:useSpRect/>
                            </a:txSp>
                          </a:sp>
                          <a:sp>
                            <a:nvSpPr>
                              <a:cNvPr id="2070" name="Text Box 35"/>
                              <a:cNvSpPr txBox="1">
                                <a:spLocks noChangeArrowheads="1"/>
                              </a:cNvSpPr>
                            </a:nvSpPr>
                            <a:spPr bwMode="auto">
                              <a:xfrm>
                                <a:off x="7162800" y="2895600"/>
                                <a:ext cx="488950" cy="27463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r>
                                    <a:rPr lang="en-US" b="0"/>
                                    <a:t>Feb.</a:t>
                                  </a:r>
                                </a:p>
                              </a:txBody>
                              <a:useSpRect/>
                            </a:txSp>
                          </a:sp>
                          <a:sp>
                            <a:nvSpPr>
                              <a:cNvPr id="2071" name="Text Box 36"/>
                              <a:cNvSpPr txBox="1">
                                <a:spLocks noChangeArrowheads="1"/>
                              </a:cNvSpPr>
                            </a:nvSpPr>
                            <a:spPr bwMode="auto">
                              <a:xfrm>
                                <a:off x="7696200" y="2895600"/>
                                <a:ext cx="606425" cy="27463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r>
                                    <a:rPr lang="en-US" b="0"/>
                                    <a:t>March</a:t>
                                  </a:r>
                                </a:p>
                              </a:txBody>
                              <a:useSpRect/>
                            </a:txSp>
                          </a:sp>
                          <a:sp>
                            <a:nvSpPr>
                              <a:cNvPr id="2072" name="Text Box 37"/>
                              <a:cNvSpPr txBox="1">
                                <a:spLocks noChangeArrowheads="1"/>
                              </a:cNvSpPr>
                            </a:nvSpPr>
                            <a:spPr bwMode="auto">
                              <a:xfrm>
                                <a:off x="4419600" y="2895600"/>
                                <a:ext cx="496888" cy="27463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r>
                                    <a:rPr lang="en-US" b="0"/>
                                    <a:t>Sep.</a:t>
                                  </a:r>
                                </a:p>
                              </a:txBody>
                              <a:useSpRect/>
                            </a:txSp>
                          </a:sp>
                          <a:sp>
                            <a:nvSpPr>
                              <a:cNvPr id="2073" name="Text Box 38"/>
                              <a:cNvSpPr txBox="1">
                                <a:spLocks noChangeArrowheads="1"/>
                              </a:cNvSpPr>
                            </a:nvSpPr>
                            <a:spPr bwMode="auto">
                              <a:xfrm>
                                <a:off x="6705600" y="2895600"/>
                                <a:ext cx="471488" cy="27463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r>
                                    <a:rPr lang="en-US" b="0"/>
                                    <a:t>Jan.</a:t>
                                  </a:r>
                                </a:p>
                              </a:txBody>
                              <a:useSpRect/>
                            </a:txSp>
                          </a:sp>
                          <a:sp>
                            <a:nvSpPr>
                              <a:cNvPr id="2074" name="Text Box 39"/>
                              <a:cNvSpPr txBox="1">
                                <a:spLocks noChangeArrowheads="1"/>
                              </a:cNvSpPr>
                            </a:nvSpPr>
                            <a:spPr bwMode="auto">
                              <a:xfrm>
                                <a:off x="5562600" y="2895600"/>
                                <a:ext cx="496888" cy="27463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r>
                                    <a:rPr lang="en-US" b="0"/>
                                    <a:t>Nov.</a:t>
                                  </a:r>
                                </a:p>
                              </a:txBody>
                              <a:useSpRect/>
                            </a:txSp>
                          </a:sp>
                          <a:sp>
                            <a:nvSpPr>
                              <a:cNvPr id="2075" name="Text Box 40"/>
                              <a:cNvSpPr txBox="1">
                                <a:spLocks noChangeArrowheads="1"/>
                              </a:cNvSpPr>
                            </a:nvSpPr>
                            <a:spPr bwMode="auto">
                              <a:xfrm>
                                <a:off x="5029200" y="2895600"/>
                                <a:ext cx="465138" cy="27463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r>
                                    <a:rPr lang="en-US" b="0"/>
                                    <a:t>Oct.</a:t>
                                  </a:r>
                                </a:p>
                              </a:txBody>
                              <a:useSpRect/>
                            </a:txSp>
                          </a:sp>
                          <a:sp>
                            <a:nvSpPr>
                              <a:cNvPr id="2076" name="Text Box 41"/>
                              <a:cNvSpPr txBox="1">
                                <a:spLocks noChangeArrowheads="1"/>
                              </a:cNvSpPr>
                            </a:nvSpPr>
                            <a:spPr bwMode="auto">
                              <a:xfrm>
                                <a:off x="6172200" y="2895600"/>
                                <a:ext cx="609600" cy="274638"/>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r>
                                    <a:rPr lang="en-US" b="0"/>
                                    <a:t>Dec.</a:t>
                                  </a:r>
                                </a:p>
                              </a:txBody>
                              <a:useSpRect/>
                            </a:txSp>
                          </a:sp>
                          <a:sp>
                            <a:nvSpPr>
                              <a:cNvPr id="2081" name="Text Box 48"/>
                              <a:cNvSpPr txBox="1">
                                <a:spLocks noChangeArrowheads="1"/>
                              </a:cNvSpPr>
                            </a:nvSpPr>
                            <a:spPr bwMode="auto">
                              <a:xfrm>
                                <a:off x="2097088" y="4684713"/>
                                <a:ext cx="1676400" cy="1646237"/>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pPr>
                                    <a:buFontTx/>
                                    <a:buChar char="•"/>
                                  </a:pPr>
                                  <a:r>
                                    <a:rPr lang="en-US" sz="1000" dirty="0"/>
                                    <a:t> Finalize GIT Strategy and annual Action Plans </a:t>
                                  </a:r>
                                </a:p>
                                <a:p>
                                  <a:pPr>
                                    <a:buFontTx/>
                                    <a:buChar char="•"/>
                                  </a:pPr>
                                  <a:endParaRPr lang="en-US" sz="1000" dirty="0"/>
                                </a:p>
                                <a:p>
                                  <a:pPr>
                                    <a:buFontTx/>
                                    <a:buChar char="•"/>
                                  </a:pPr>
                                  <a:r>
                                    <a:rPr lang="en-US" sz="1000" dirty="0"/>
                                    <a:t> GITs demonstrate cross-goal coordination, use of targeting</a:t>
                                  </a:r>
                                </a:p>
                                <a:p>
                                  <a:pPr>
                                    <a:buFontTx/>
                                    <a:buChar char="•"/>
                                  </a:pPr>
                                  <a:endParaRPr lang="en-US" sz="1000" dirty="0"/>
                                </a:p>
                                <a:p>
                                  <a:pPr>
                                    <a:buFontTx/>
                                    <a:buChar char="•"/>
                                  </a:pPr>
                                  <a:r>
                                    <a:rPr lang="en-US" sz="1000" dirty="0"/>
                                    <a:t> Determine prioritized actions, milestones and</a:t>
                                  </a:r>
                                  <a:r>
                                    <a:rPr lang="en-US" dirty="0"/>
                                    <a:t> </a:t>
                                  </a:r>
                                  <a:r>
                                    <a:rPr lang="en-US" sz="1000" dirty="0"/>
                                    <a:t>resources to be applied </a:t>
                                  </a:r>
                                </a:p>
                              </a:txBody>
                              <a:useSpRect/>
                            </a:txSp>
                          </a:sp>
                          <a:sp>
                            <a:nvSpPr>
                              <a:cNvPr id="2082" name="Text Box 49"/>
                              <a:cNvSpPr txBox="1">
                                <a:spLocks noChangeArrowheads="1"/>
                              </a:cNvSpPr>
                            </a:nvSpPr>
                            <a:spPr bwMode="auto">
                              <a:xfrm>
                                <a:off x="4800600" y="4681538"/>
                                <a:ext cx="1676400" cy="176847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pPr>
                                    <a:buFontTx/>
                                    <a:buChar char="•"/>
                                  </a:pPr>
                                  <a:r>
                                    <a:rPr lang="en-US" sz="1000" b="0" dirty="0"/>
                                    <a:t> </a:t>
                                  </a:r>
                                  <a:r>
                                    <a:rPr lang="en-US" sz="1000" dirty="0"/>
                                    <a:t>GITs report on progress and barriers</a:t>
                                  </a:r>
                                </a:p>
                                <a:p>
                                  <a:pPr>
                                    <a:buFontTx/>
                                    <a:buChar char="•"/>
                                  </a:pPr>
                                  <a:endParaRPr lang="en-US" sz="1000" dirty="0"/>
                                </a:p>
                                <a:p>
                                  <a:pPr>
                                    <a:buFontTx/>
                                    <a:buChar char="•"/>
                                  </a:pPr>
                                  <a:r>
                                    <a:rPr lang="en-US" sz="1000" dirty="0"/>
                                    <a:t> MB evaluates progress and makes recommendations for overcoming barriers</a:t>
                                  </a:r>
                                </a:p>
                                <a:p>
                                  <a:pPr>
                                    <a:buFontTx/>
                                    <a:buChar char="•"/>
                                  </a:pPr>
                                  <a:endParaRPr lang="en-US" sz="1000" dirty="0"/>
                                </a:p>
                                <a:p>
                                  <a:pPr>
                                    <a:buFontTx/>
                                    <a:buChar char="•"/>
                                  </a:pPr>
                                  <a:r>
                                    <a:rPr lang="en-US" sz="1000" dirty="0"/>
                                    <a:t> Short-term adaptation of strategies and planned activities</a:t>
                                  </a:r>
                                </a:p>
                              </a:txBody>
                              <a:useSpRect/>
                            </a:txSp>
                          </a:sp>
                          <a:sp>
                            <a:nvSpPr>
                              <a:cNvPr id="2083" name="Line 51"/>
                              <a:cNvSpPr>
                                <a:spLocks noChangeShapeType="1"/>
                              </a:cNvSpPr>
                            </a:nvSpPr>
                            <a:spPr bwMode="auto">
                              <a:xfrm flipH="1">
                                <a:off x="304800" y="3278188"/>
                                <a:ext cx="685800" cy="0"/>
                              </a:xfrm>
                              <a:prstGeom prst="line">
                                <a:avLst/>
                              </a:prstGeom>
                              <a:noFill/>
                              <a:ln w="9525">
                                <a:solidFill>
                                  <a:schemeClr val="tx1"/>
                                </a:solidFill>
                                <a:round/>
                                <a:headEnd/>
                                <a:tailEnd/>
                              </a:ln>
                            </a:spPr>
                            <a:txSp>
                              <a:txBody>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endParaRPr lang="en-US"/>
                                </a:p>
                              </a:txBody>
                              <a:useSpRect/>
                            </a:txSp>
                          </a:sp>
                          <a:sp>
                            <a:nvSpPr>
                              <a:cNvPr id="2085" name="Text Box 59"/>
                              <a:cNvSpPr txBox="1">
                                <a:spLocks noChangeArrowheads="1"/>
                              </a:cNvSpPr>
                            </a:nvSpPr>
                            <a:spPr bwMode="auto">
                              <a:xfrm>
                                <a:off x="7239000" y="2684463"/>
                                <a:ext cx="524503" cy="276999"/>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r>
                                    <a:rPr lang="en-US" b="0" dirty="0" smtClean="0"/>
                                    <a:t>2014</a:t>
                                  </a:r>
                                  <a:endParaRPr lang="en-US" b="0" dirty="0"/>
                                </a:p>
                              </a:txBody>
                              <a:useSpRect/>
                            </a:txSp>
                          </a:sp>
                          <a:sp>
                            <a:nvSpPr>
                              <a:cNvPr id="2086" name="Line 60"/>
                              <a:cNvSpPr>
                                <a:spLocks noChangeShapeType="1"/>
                              </a:cNvSpPr>
                            </a:nvSpPr>
                            <a:spPr bwMode="auto">
                              <a:xfrm flipH="1">
                                <a:off x="6858000" y="2836863"/>
                                <a:ext cx="381000" cy="0"/>
                              </a:xfrm>
                              <a:prstGeom prst="line">
                                <a:avLst/>
                              </a:prstGeom>
                              <a:noFill/>
                              <a:ln w="9525">
                                <a:solidFill>
                                  <a:schemeClr val="tx1"/>
                                </a:solidFill>
                                <a:round/>
                                <a:headEnd/>
                                <a:tailEnd/>
                              </a:ln>
                            </a:spPr>
                            <a:txSp>
                              <a:txBody>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endParaRPr lang="en-US"/>
                                </a:p>
                              </a:txBody>
                              <a:useSpRect/>
                            </a:txSp>
                          </a:sp>
                          <a:sp>
                            <a:nvSpPr>
                              <a:cNvPr id="2087" name="Line 61"/>
                              <a:cNvSpPr>
                                <a:spLocks noChangeShapeType="1"/>
                              </a:cNvSpPr>
                            </a:nvSpPr>
                            <a:spPr bwMode="auto">
                              <a:xfrm flipH="1">
                                <a:off x="7696200" y="2836863"/>
                                <a:ext cx="381000" cy="0"/>
                              </a:xfrm>
                              <a:prstGeom prst="line">
                                <a:avLst/>
                              </a:prstGeom>
                              <a:noFill/>
                              <a:ln w="9525">
                                <a:solidFill>
                                  <a:schemeClr val="tx1"/>
                                </a:solidFill>
                                <a:round/>
                                <a:headEnd/>
                                <a:tailEnd/>
                              </a:ln>
                            </a:spPr>
                            <a:txSp>
                              <a:txBody>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endParaRPr lang="en-US"/>
                                </a:p>
                              </a:txBody>
                              <a:useSpRect/>
                            </a:txSp>
                          </a:sp>
                          <a:sp>
                            <a:nvSpPr>
                              <a:cNvPr id="2088" name="Text Box 62"/>
                              <a:cNvSpPr txBox="1">
                                <a:spLocks noChangeArrowheads="1"/>
                              </a:cNvSpPr>
                            </a:nvSpPr>
                            <a:spPr bwMode="auto">
                              <a:xfrm>
                                <a:off x="236538" y="4648200"/>
                                <a:ext cx="1600200" cy="207327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pPr>
                                    <a:spcBef>
                                      <a:spcPct val="50000"/>
                                    </a:spcBef>
                                    <a:buFontTx/>
                                    <a:buChar char="•"/>
                                  </a:pPr>
                                  <a:r>
                                    <a:rPr lang="en-US" sz="1000" b="0" dirty="0"/>
                                    <a:t> </a:t>
                                  </a:r>
                                  <a:r>
                                    <a:rPr lang="en-US" sz="1000" dirty="0"/>
                                    <a:t>Mission, Vision, Values </a:t>
                                  </a:r>
                                </a:p>
                                <a:p>
                                  <a:pPr>
                                    <a:spcBef>
                                      <a:spcPct val="50000"/>
                                    </a:spcBef>
                                    <a:buFontTx/>
                                    <a:buChar char="•"/>
                                  </a:pPr>
                                  <a:r>
                                    <a:rPr lang="en-US" sz="1000" dirty="0"/>
                                    <a:t> Key conclusions from the Bay Barometer</a:t>
                                  </a:r>
                                </a:p>
                                <a:p>
                                  <a:pPr>
                                    <a:spcBef>
                                      <a:spcPct val="50000"/>
                                    </a:spcBef>
                                    <a:buFontTx/>
                                    <a:buChar char="•"/>
                                  </a:pPr>
                                  <a:r>
                                    <a:rPr lang="en-US" sz="1000" dirty="0"/>
                                    <a:t> Results of external evaluations</a:t>
                                  </a:r>
                                </a:p>
                                <a:p>
                                  <a:pPr>
                                    <a:spcBef>
                                      <a:spcPct val="50000"/>
                                    </a:spcBef>
                                    <a:buFontTx/>
                                    <a:buChar char="•"/>
                                  </a:pPr>
                                  <a:r>
                                    <a:rPr lang="en-US" sz="1000" dirty="0"/>
                                    <a:t> Look Back – performance against milestones</a:t>
                                  </a:r>
                                </a:p>
                                <a:p>
                                  <a:pPr>
                                    <a:spcBef>
                                      <a:spcPct val="50000"/>
                                    </a:spcBef>
                                    <a:buFontTx/>
                                    <a:buChar char="•"/>
                                  </a:pPr>
                                  <a:r>
                                    <a:rPr lang="en-US" sz="1000" dirty="0"/>
                                    <a:t> Look Ahead – needed changes</a:t>
                                  </a:r>
                                </a:p>
                              </a:txBody>
                              <a:useSpRect/>
                            </a:txSp>
                          </a:sp>
                          <a:sp>
                            <a:nvSpPr>
                              <a:cNvPr id="2089" name="Line 64"/>
                              <a:cNvSpPr>
                                <a:spLocks noChangeShapeType="1"/>
                              </a:cNvSpPr>
                            </a:nvSpPr>
                            <a:spPr bwMode="auto">
                              <a:xfrm flipV="1">
                                <a:off x="2438400" y="2741613"/>
                                <a:ext cx="0" cy="533400"/>
                              </a:xfrm>
                              <a:prstGeom prst="line">
                                <a:avLst/>
                              </a:prstGeom>
                              <a:noFill/>
                              <a:ln w="9525">
                                <a:solidFill>
                                  <a:schemeClr val="tx1"/>
                                </a:solidFill>
                                <a:round/>
                                <a:headEnd/>
                                <a:tailEnd/>
                              </a:ln>
                            </a:spPr>
                            <a:txSp>
                              <a:txBody>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endParaRPr lang="en-US"/>
                                </a:p>
                              </a:txBody>
                              <a:useSpRect/>
                            </a:txSp>
                          </a:sp>
                          <a:sp>
                            <a:nvSpPr>
                              <a:cNvPr id="2090" name="Text Box 65"/>
                              <a:cNvSpPr txBox="1">
                                <a:spLocks noChangeArrowheads="1"/>
                              </a:cNvSpPr>
                            </a:nvSpPr>
                            <a:spPr bwMode="auto">
                              <a:xfrm>
                                <a:off x="2243138" y="2498725"/>
                                <a:ext cx="381000" cy="254000"/>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pPr>
                                    <a:spcBef>
                                      <a:spcPct val="50000"/>
                                    </a:spcBef>
                                  </a:pPr>
                                  <a:r>
                                    <a:rPr lang="en-US" sz="1000" b="0"/>
                                    <a:t>EC</a:t>
                                  </a:r>
                                </a:p>
                              </a:txBody>
                              <a:useSpRect/>
                            </a:txSp>
                          </a:sp>
                          <a:sp>
                            <a:nvSpPr>
                              <a:cNvPr id="2091" name="Line 66"/>
                              <a:cNvSpPr>
                                <a:spLocks noChangeShapeType="1"/>
                              </a:cNvSpPr>
                            </a:nvSpPr>
                            <a:spPr bwMode="auto">
                              <a:xfrm flipV="1">
                                <a:off x="1419225" y="2751138"/>
                                <a:ext cx="0" cy="533400"/>
                              </a:xfrm>
                              <a:prstGeom prst="line">
                                <a:avLst/>
                              </a:prstGeom>
                              <a:noFill/>
                              <a:ln w="9525">
                                <a:solidFill>
                                  <a:schemeClr val="tx1"/>
                                </a:solidFill>
                                <a:round/>
                                <a:headEnd/>
                                <a:tailEnd/>
                              </a:ln>
                            </a:spPr>
                            <a:txSp>
                              <a:txBody>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endParaRPr lang="en-US"/>
                                </a:p>
                              </a:txBody>
                              <a:useSpRect/>
                            </a:txSp>
                          </a:sp>
                          <a:sp>
                            <a:nvSpPr>
                              <a:cNvPr id="2092" name="Text Box 67"/>
                              <a:cNvSpPr txBox="1">
                                <a:spLocks noChangeArrowheads="1"/>
                              </a:cNvSpPr>
                            </a:nvSpPr>
                            <a:spPr bwMode="auto">
                              <a:xfrm>
                                <a:off x="1190625" y="2493963"/>
                                <a:ext cx="457200" cy="254000"/>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pPr>
                                    <a:spcBef>
                                      <a:spcPct val="50000"/>
                                    </a:spcBef>
                                  </a:pPr>
                                  <a:r>
                                    <a:rPr lang="en-US" sz="1000" b="0" dirty="0"/>
                                    <a:t>PSC</a:t>
                                  </a:r>
                                </a:p>
                              </a:txBody>
                              <a:useSpRect/>
                            </a:txSp>
                          </a:sp>
                          <a:sp>
                            <a:nvSpPr>
                              <a:cNvPr id="2093" name="Line 68"/>
                              <a:cNvSpPr>
                                <a:spLocks noChangeShapeType="1"/>
                              </a:cNvSpPr>
                            </a:nvSpPr>
                            <a:spPr bwMode="auto">
                              <a:xfrm flipV="1">
                                <a:off x="3124200" y="2751138"/>
                                <a:ext cx="0" cy="533400"/>
                              </a:xfrm>
                              <a:prstGeom prst="line">
                                <a:avLst/>
                              </a:prstGeom>
                              <a:noFill/>
                              <a:ln w="9525">
                                <a:solidFill>
                                  <a:schemeClr val="tx1"/>
                                </a:solidFill>
                                <a:round/>
                                <a:headEnd/>
                                <a:tailEnd/>
                              </a:ln>
                            </a:spPr>
                            <a:txSp>
                              <a:txBody>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endParaRPr lang="en-US"/>
                                </a:p>
                              </a:txBody>
                              <a:useSpRect/>
                            </a:txSp>
                          </a:sp>
                          <a:sp>
                            <a:nvSpPr>
                              <a:cNvPr id="2094" name="Line 70"/>
                              <a:cNvSpPr>
                                <a:spLocks noChangeShapeType="1"/>
                              </a:cNvSpPr>
                            </a:nvSpPr>
                            <a:spPr bwMode="auto">
                              <a:xfrm flipV="1">
                                <a:off x="4953000" y="2751138"/>
                                <a:ext cx="0" cy="533400"/>
                              </a:xfrm>
                              <a:prstGeom prst="line">
                                <a:avLst/>
                              </a:prstGeom>
                              <a:noFill/>
                              <a:ln w="9525">
                                <a:solidFill>
                                  <a:schemeClr val="tx1"/>
                                </a:solidFill>
                                <a:round/>
                                <a:headEnd/>
                                <a:tailEnd/>
                              </a:ln>
                            </a:spPr>
                            <a:txSp>
                              <a:txBody>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endParaRPr lang="en-US"/>
                                </a:p>
                              </a:txBody>
                              <a:useSpRect/>
                            </a:txSp>
                          </a:sp>
                          <a:sp>
                            <a:nvSpPr>
                              <a:cNvPr id="2095" name="Line 71"/>
                              <a:cNvSpPr>
                                <a:spLocks noChangeShapeType="1"/>
                              </a:cNvSpPr>
                            </a:nvSpPr>
                            <a:spPr bwMode="auto">
                              <a:xfrm flipV="1">
                                <a:off x="6638925" y="2751138"/>
                                <a:ext cx="0" cy="533400"/>
                              </a:xfrm>
                              <a:prstGeom prst="line">
                                <a:avLst/>
                              </a:prstGeom>
                              <a:noFill/>
                              <a:ln w="9525">
                                <a:solidFill>
                                  <a:schemeClr val="tx1"/>
                                </a:solidFill>
                                <a:round/>
                                <a:headEnd/>
                                <a:tailEnd/>
                              </a:ln>
                            </a:spPr>
                            <a:txSp>
                              <a:txBody>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endParaRPr lang="en-US"/>
                                </a:p>
                              </a:txBody>
                              <a:useSpRect/>
                            </a:txSp>
                          </a:sp>
                          <a:sp>
                            <a:nvSpPr>
                              <a:cNvPr id="2096" name="Text Box 72"/>
                              <a:cNvSpPr txBox="1">
                                <a:spLocks noChangeArrowheads="1"/>
                              </a:cNvSpPr>
                            </a:nvSpPr>
                            <a:spPr bwMode="auto">
                              <a:xfrm>
                                <a:off x="2905125" y="2493963"/>
                                <a:ext cx="457200" cy="254000"/>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pPr>
                                    <a:spcBef>
                                      <a:spcPct val="50000"/>
                                    </a:spcBef>
                                  </a:pPr>
                                  <a:r>
                                    <a:rPr lang="en-US" sz="1000" b="0"/>
                                    <a:t>PSC</a:t>
                                  </a:r>
                                </a:p>
                              </a:txBody>
                              <a:useSpRect/>
                            </a:txSp>
                          </a:sp>
                          <a:sp>
                            <a:nvSpPr>
                              <a:cNvPr id="2097" name="Text Box 73"/>
                              <a:cNvSpPr txBox="1">
                                <a:spLocks noChangeArrowheads="1"/>
                              </a:cNvSpPr>
                            </a:nvSpPr>
                            <a:spPr bwMode="auto">
                              <a:xfrm>
                                <a:off x="4724400" y="2493963"/>
                                <a:ext cx="457200" cy="254000"/>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pPr>
                                    <a:spcBef>
                                      <a:spcPct val="50000"/>
                                    </a:spcBef>
                                  </a:pPr>
                                  <a:r>
                                    <a:rPr lang="en-US" sz="1000" b="0"/>
                                    <a:t>PSC</a:t>
                                  </a:r>
                                </a:p>
                              </a:txBody>
                              <a:useSpRect/>
                            </a:txSp>
                          </a:sp>
                          <a:sp>
                            <a:nvSpPr>
                              <a:cNvPr id="2098" name="Text Box 74"/>
                              <a:cNvSpPr txBox="1">
                                <a:spLocks noChangeArrowheads="1"/>
                              </a:cNvSpPr>
                            </a:nvSpPr>
                            <a:spPr bwMode="auto">
                              <a:xfrm>
                                <a:off x="6410325" y="2493963"/>
                                <a:ext cx="457200" cy="254000"/>
                              </a:xfrm>
                              <a:prstGeom prst="rect">
                                <a:avLst/>
                              </a:prstGeom>
                              <a:noFill/>
                              <a:ln w="9525">
                                <a:solidFill>
                                  <a:schemeClr val="tx1"/>
                                </a:solidFill>
                                <a:miter lim="800000"/>
                                <a:headEnd/>
                                <a:tailEnd/>
                              </a:ln>
                            </a:spPr>
                            <a:txSp>
                              <a:txBody>
                                <a:bodyPr>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pPr>
                                    <a:spcBef>
                                      <a:spcPct val="50000"/>
                                    </a:spcBef>
                                  </a:pPr>
                                  <a:r>
                                    <a:rPr lang="en-US" sz="1000" b="0"/>
                                    <a:t>PSC</a:t>
                                  </a:r>
                                </a:p>
                              </a:txBody>
                              <a:useSpRect/>
                            </a:txSp>
                          </a:sp>
                          <a:sp>
                            <a:nvSpPr>
                              <a:cNvPr id="2099" name="Text Box 75"/>
                              <a:cNvSpPr txBox="1">
                                <a:spLocks noChangeArrowheads="1"/>
                              </a:cNvSpPr>
                            </a:nvSpPr>
                            <a:spPr bwMode="auto">
                              <a:xfrm>
                                <a:off x="517525" y="3276600"/>
                                <a:ext cx="531048" cy="246221"/>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r>
                                    <a:rPr lang="en-US" sz="1000" b="0" i="1" dirty="0" smtClean="0"/>
                                    <a:t>STAR</a:t>
                                  </a:r>
                                  <a:endParaRPr lang="en-US" sz="1000" b="0" i="1" dirty="0"/>
                                </a:p>
                              </a:txBody>
                              <a:useSpRect/>
                            </a:txSp>
                          </a:sp>
                          <a:sp>
                            <a:nvSpPr>
                              <a:cNvPr id="2100" name="Text Box 76"/>
                              <a:cNvSpPr txBox="1">
                                <a:spLocks noChangeArrowheads="1"/>
                              </a:cNvSpPr>
                            </a:nvSpPr>
                            <a:spPr bwMode="auto">
                              <a:xfrm>
                                <a:off x="2209800" y="3294063"/>
                                <a:ext cx="531048" cy="246221"/>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r>
                                    <a:rPr lang="en-US" sz="1000" b="0" i="1" dirty="0" smtClean="0"/>
                                    <a:t>STAR</a:t>
                                  </a:r>
                                  <a:endParaRPr lang="en-US" sz="1000" b="0" i="1" dirty="0"/>
                                </a:p>
                              </a:txBody>
                              <a:useSpRect/>
                            </a:txSp>
                          </a:sp>
                          <a:sp>
                            <a:nvSpPr>
                              <a:cNvPr id="2101" name="Text Box 78"/>
                              <a:cNvSpPr txBox="1">
                                <a:spLocks noChangeArrowheads="1"/>
                              </a:cNvSpPr>
                            </a:nvSpPr>
                            <a:spPr bwMode="auto">
                              <a:xfrm>
                                <a:off x="4114800" y="3294063"/>
                                <a:ext cx="531048" cy="246221"/>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r>
                                    <a:rPr lang="en-US" sz="1000" b="0" i="1" dirty="0" smtClean="0"/>
                                    <a:t>STAR</a:t>
                                  </a:r>
                                  <a:endParaRPr lang="en-US" sz="1000" b="0" i="1" dirty="0"/>
                                </a:p>
                              </a:txBody>
                              <a:useSpRect/>
                            </a:txSp>
                          </a:sp>
                          <a:sp>
                            <a:nvSpPr>
                              <a:cNvPr id="2102" name="Text Box 79"/>
                              <a:cNvSpPr txBox="1">
                                <a:spLocks noChangeArrowheads="1"/>
                              </a:cNvSpPr>
                            </a:nvSpPr>
                            <a:spPr bwMode="auto">
                              <a:xfrm>
                                <a:off x="5791200" y="3294063"/>
                                <a:ext cx="531048" cy="246221"/>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r>
                                    <a:rPr lang="en-US" sz="1000" b="0" i="1" dirty="0" smtClean="0"/>
                                    <a:t>STAR</a:t>
                                  </a:r>
                                  <a:endParaRPr lang="en-US" sz="1000" b="0" i="1" dirty="0"/>
                                </a:p>
                              </a:txBody>
                              <a:useSpRect/>
                            </a:txSp>
                          </a:sp>
                          <a:sp>
                            <a:nvSpPr>
                              <a:cNvPr id="2103" name="Oval 80"/>
                              <a:cNvSpPr>
                                <a:spLocks noChangeArrowheads="1"/>
                              </a:cNvSpPr>
                            </a:nvSpPr>
                            <a:spPr bwMode="auto">
                              <a:xfrm>
                                <a:off x="381000" y="3522663"/>
                                <a:ext cx="1143000" cy="1066800"/>
                              </a:xfrm>
                              <a:prstGeom prst="ellipse">
                                <a:avLst/>
                              </a:prstGeom>
                              <a:solidFill>
                                <a:schemeClr val="accent1"/>
                              </a:solidFill>
                              <a:ln w="9525" algn="ctr">
                                <a:solidFill>
                                  <a:schemeClr val="tx1"/>
                                </a:solidFill>
                                <a:round/>
                                <a:headEnd/>
                                <a:tailEnd/>
                              </a:ln>
                            </a:spPr>
                            <a:txSp>
                              <a:txBody>
                                <a:bodyPr anchor="ctr">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endParaRPr lang="en-US"/>
                                </a:p>
                              </a:txBody>
                              <a:useSpRect/>
                            </a:txSp>
                          </a:sp>
                          <a:sp>
                            <a:nvSpPr>
                              <a:cNvPr id="2104" name="Text Box 81"/>
                              <a:cNvSpPr txBox="1">
                                <a:spLocks noChangeArrowheads="1"/>
                              </a:cNvSpPr>
                            </a:nvSpPr>
                            <a:spPr bwMode="auto">
                              <a:xfrm>
                                <a:off x="401638" y="3730625"/>
                                <a:ext cx="1143000" cy="639763"/>
                              </a:xfrm>
                              <a:prstGeom prst="rect">
                                <a:avLst/>
                              </a:prstGeom>
                              <a:noFill/>
                              <a:ln w="9525" algn="ctr">
                                <a:noFill/>
                                <a:miter lim="800000"/>
                                <a:headEnd/>
                                <a:tailEnd/>
                              </a:ln>
                            </a:spPr>
                            <a:txSp>
                              <a:txBody>
                                <a:bodyPr>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pPr>
                                    <a:spcBef>
                                      <a:spcPct val="50000"/>
                                    </a:spcBef>
                                  </a:pPr>
                                  <a:r>
                                    <a:rPr lang="en-US"/>
                                    <a:t>Management System Review</a:t>
                                  </a:r>
                                </a:p>
                              </a:txBody>
                              <a:useSpRect/>
                            </a:txSp>
                          </a:sp>
                          <a:sp>
                            <a:nvSpPr>
                              <a:cNvPr id="2105" name="Oval 82"/>
                              <a:cNvSpPr>
                                <a:spLocks noChangeArrowheads="1"/>
                              </a:cNvSpPr>
                            </a:nvSpPr>
                            <a:spPr bwMode="auto">
                              <a:xfrm>
                                <a:off x="2225675" y="3505200"/>
                                <a:ext cx="1143000" cy="1066800"/>
                              </a:xfrm>
                              <a:prstGeom prst="ellipse">
                                <a:avLst/>
                              </a:prstGeom>
                              <a:solidFill>
                                <a:schemeClr val="accent1"/>
                              </a:solidFill>
                              <a:ln w="9525" algn="ctr">
                                <a:solidFill>
                                  <a:schemeClr val="tx1"/>
                                </a:solidFill>
                                <a:round/>
                                <a:headEnd/>
                                <a:tailEnd/>
                              </a:ln>
                            </a:spPr>
                            <a:txSp>
                              <a:txBody>
                                <a:bodyPr anchor="ctr">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endParaRPr lang="en-US"/>
                                </a:p>
                              </a:txBody>
                              <a:useSpRect/>
                            </a:txSp>
                          </a:sp>
                          <a:sp>
                            <a:nvSpPr>
                              <a:cNvPr id="2106" name="Text Box 83"/>
                              <a:cNvSpPr txBox="1">
                                <a:spLocks noChangeArrowheads="1"/>
                              </a:cNvSpPr>
                            </a:nvSpPr>
                            <a:spPr bwMode="auto">
                              <a:xfrm>
                                <a:off x="2357438" y="3657600"/>
                                <a:ext cx="1066800" cy="822325"/>
                              </a:xfrm>
                              <a:prstGeom prst="rect">
                                <a:avLst/>
                              </a:prstGeom>
                              <a:noFill/>
                              <a:ln w="9525" algn="ctr">
                                <a:noFill/>
                                <a:miter lim="800000"/>
                                <a:headEnd/>
                                <a:tailEnd/>
                              </a:ln>
                            </a:spPr>
                            <a:txSp>
                              <a:txBody>
                                <a:bodyPr>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pPr>
                                    <a:spcBef>
                                      <a:spcPct val="50000"/>
                                    </a:spcBef>
                                  </a:pPr>
                                  <a:r>
                                    <a:rPr lang="en-US"/>
                                    <a:t>Strategy and Action Plan Review</a:t>
                                  </a:r>
                                </a:p>
                              </a:txBody>
                              <a:useSpRect/>
                            </a:txSp>
                          </a:sp>
                          <a:sp>
                            <a:nvSpPr>
                              <a:cNvPr id="2107" name="Oval 84"/>
                              <a:cNvSpPr>
                                <a:spLocks noChangeArrowheads="1"/>
                              </a:cNvSpPr>
                            </a:nvSpPr>
                            <a:spPr bwMode="auto">
                              <a:xfrm>
                                <a:off x="4078288" y="3551238"/>
                                <a:ext cx="1143000" cy="1066800"/>
                              </a:xfrm>
                              <a:prstGeom prst="ellipse">
                                <a:avLst/>
                              </a:prstGeom>
                              <a:solidFill>
                                <a:schemeClr val="accent1"/>
                              </a:solidFill>
                              <a:ln w="9525" algn="ctr">
                                <a:solidFill>
                                  <a:schemeClr val="tx1"/>
                                </a:solidFill>
                                <a:round/>
                                <a:headEnd/>
                                <a:tailEnd/>
                              </a:ln>
                            </a:spPr>
                            <a:txSp>
                              <a:txBody>
                                <a:bodyPr anchor="ctr">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endParaRPr lang="en-US"/>
                                </a:p>
                              </a:txBody>
                              <a:useSpRect/>
                            </a:txSp>
                          </a:sp>
                          <a:sp>
                            <a:nvSpPr>
                              <a:cNvPr id="2108" name="Text Box 85"/>
                              <a:cNvSpPr txBox="1">
                                <a:spLocks noChangeArrowheads="1"/>
                              </a:cNvSpPr>
                            </a:nvSpPr>
                            <a:spPr bwMode="auto">
                              <a:xfrm>
                                <a:off x="4222750" y="3700463"/>
                                <a:ext cx="990600" cy="639762"/>
                              </a:xfrm>
                              <a:prstGeom prst="rect">
                                <a:avLst/>
                              </a:prstGeom>
                              <a:noFill/>
                              <a:ln w="9525" algn="ctr">
                                <a:noFill/>
                                <a:miter lim="800000"/>
                                <a:headEnd/>
                                <a:tailEnd/>
                              </a:ln>
                            </a:spPr>
                            <a:txSp>
                              <a:txBody>
                                <a:bodyPr>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pPr>
                                    <a:spcBef>
                                      <a:spcPct val="50000"/>
                                    </a:spcBef>
                                  </a:pPr>
                                  <a:r>
                                    <a:rPr lang="en-US"/>
                                    <a:t>Quarterly Progress Review</a:t>
                                  </a:r>
                                </a:p>
                              </a:txBody>
                              <a:useSpRect/>
                            </a:txSp>
                          </a:sp>
                          <a:sp>
                            <a:nvSpPr>
                              <a:cNvPr id="2109" name="Line 86"/>
                              <a:cNvSpPr>
                                <a:spLocks noChangeShapeType="1"/>
                              </a:cNvSpPr>
                            </a:nvSpPr>
                            <a:spPr bwMode="auto">
                              <a:xfrm>
                                <a:off x="4648200" y="3286125"/>
                                <a:ext cx="0" cy="246063"/>
                              </a:xfrm>
                              <a:prstGeom prst="line">
                                <a:avLst/>
                              </a:prstGeom>
                              <a:noFill/>
                              <a:ln w="9525">
                                <a:solidFill>
                                  <a:schemeClr val="tx1"/>
                                </a:solidFill>
                                <a:round/>
                                <a:headEnd/>
                                <a:tailEnd/>
                              </a:ln>
                            </a:spPr>
                            <a:txSp>
                              <a:txBody>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endParaRPr lang="en-US"/>
                                </a:p>
                              </a:txBody>
                              <a:useSpRect/>
                            </a:txSp>
                          </a:sp>
                          <a:sp>
                            <a:nvSpPr>
                              <a:cNvPr id="2110" name="Text Box 87"/>
                              <a:cNvSpPr txBox="1">
                                <a:spLocks noChangeArrowheads="1"/>
                              </a:cNvSpPr>
                            </a:nvSpPr>
                            <a:spPr bwMode="auto">
                              <a:xfrm>
                                <a:off x="5791200" y="3751263"/>
                                <a:ext cx="990600" cy="639762"/>
                              </a:xfrm>
                              <a:prstGeom prst="rect">
                                <a:avLst/>
                              </a:prstGeom>
                              <a:noFill/>
                              <a:ln w="9525" algn="ctr">
                                <a:noFill/>
                                <a:miter lim="800000"/>
                                <a:headEnd/>
                                <a:tailEnd/>
                              </a:ln>
                            </a:spPr>
                            <a:txSp>
                              <a:txBody>
                                <a:bodyPr>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pPr>
                                    <a:spcBef>
                                      <a:spcPct val="50000"/>
                                    </a:spcBef>
                                  </a:pPr>
                                  <a:r>
                                    <a:rPr lang="en-US"/>
                                    <a:t>Quarterly Progress Review</a:t>
                                  </a:r>
                                </a:p>
                              </a:txBody>
                              <a:useSpRect/>
                            </a:txSp>
                          </a:sp>
                          <a:sp>
                            <a:nvSpPr>
                              <a:cNvPr id="2111" name="Oval 88"/>
                              <a:cNvSpPr>
                                <a:spLocks noChangeArrowheads="1"/>
                              </a:cNvSpPr>
                            </a:nvSpPr>
                            <a:spPr bwMode="auto">
                              <a:xfrm>
                                <a:off x="5754688" y="3590925"/>
                                <a:ext cx="1143000" cy="1066800"/>
                              </a:xfrm>
                              <a:prstGeom prst="ellipse">
                                <a:avLst/>
                              </a:prstGeom>
                              <a:solidFill>
                                <a:schemeClr val="accent1"/>
                              </a:solidFill>
                              <a:ln w="9525" algn="ctr">
                                <a:solidFill>
                                  <a:schemeClr val="tx1"/>
                                </a:solidFill>
                                <a:round/>
                                <a:headEnd/>
                                <a:tailEnd/>
                              </a:ln>
                            </a:spPr>
                            <a:txSp>
                              <a:txBody>
                                <a:bodyPr anchor="ctr">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endParaRPr lang="en-US"/>
                                </a:p>
                              </a:txBody>
                              <a:useSpRect/>
                            </a:txSp>
                          </a:sp>
                          <a:sp>
                            <a:nvSpPr>
                              <a:cNvPr id="2112" name="Text Box 90"/>
                              <a:cNvSpPr txBox="1">
                                <a:spLocks noChangeArrowheads="1"/>
                              </a:cNvSpPr>
                            </a:nvSpPr>
                            <a:spPr bwMode="auto">
                              <a:xfrm>
                                <a:off x="5854700" y="3719513"/>
                                <a:ext cx="990600" cy="639762"/>
                              </a:xfrm>
                              <a:prstGeom prst="rect">
                                <a:avLst/>
                              </a:prstGeom>
                              <a:noFill/>
                              <a:ln w="9525" algn="ctr">
                                <a:noFill/>
                                <a:miter lim="800000"/>
                                <a:headEnd/>
                                <a:tailEnd/>
                              </a:ln>
                            </a:spPr>
                            <a:txSp>
                              <a:txBody>
                                <a:bodyPr>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pPr>
                                    <a:spcBef>
                                      <a:spcPct val="50000"/>
                                    </a:spcBef>
                                  </a:pPr>
                                  <a:r>
                                    <a:rPr lang="en-US"/>
                                    <a:t>Quarterly Progress Review</a:t>
                                  </a:r>
                                </a:p>
                              </a:txBody>
                              <a:useSpRect/>
                            </a:txSp>
                          </a:sp>
                          <a:sp>
                            <a:nvSpPr>
                              <a:cNvPr id="2113" name="Oval 93"/>
                              <a:cNvSpPr>
                                <a:spLocks noChangeArrowheads="1"/>
                              </a:cNvSpPr>
                            </a:nvSpPr>
                            <a:spPr bwMode="auto">
                              <a:xfrm>
                                <a:off x="7435850" y="3657600"/>
                                <a:ext cx="1143000" cy="1066800"/>
                              </a:xfrm>
                              <a:prstGeom prst="ellipse">
                                <a:avLst/>
                              </a:prstGeom>
                              <a:solidFill>
                                <a:schemeClr val="accent1"/>
                              </a:solidFill>
                              <a:ln w="9525" algn="ctr">
                                <a:solidFill>
                                  <a:schemeClr val="tx1"/>
                                </a:solidFill>
                                <a:prstDash val="dash"/>
                                <a:round/>
                                <a:headEnd/>
                                <a:tailEnd/>
                              </a:ln>
                            </a:spPr>
                            <a:txSp>
                              <a:txBody>
                                <a:bodyPr anchor="ctr">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endParaRPr lang="en-US"/>
                                </a:p>
                              </a:txBody>
                              <a:useSpRect/>
                            </a:txSp>
                          </a:sp>
                          <a:sp>
                            <a:nvSpPr>
                              <a:cNvPr id="2114" name="Text Box 95"/>
                              <a:cNvSpPr txBox="1">
                                <a:spLocks noChangeArrowheads="1"/>
                              </a:cNvSpPr>
                            </a:nvSpPr>
                            <a:spPr bwMode="auto">
                              <a:xfrm>
                                <a:off x="7459663" y="3833813"/>
                                <a:ext cx="1219200" cy="639762"/>
                              </a:xfrm>
                              <a:prstGeom prst="rect">
                                <a:avLst/>
                              </a:prstGeom>
                              <a:noFill/>
                              <a:ln w="9525" algn="ctr">
                                <a:noFill/>
                                <a:miter lim="800000"/>
                                <a:headEnd/>
                                <a:tailEnd/>
                              </a:ln>
                            </a:spPr>
                            <a:txSp>
                              <a:txBody>
                                <a:bodyPr>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pPr>
                                    <a:spcBef>
                                      <a:spcPct val="50000"/>
                                    </a:spcBef>
                                  </a:pPr>
                                  <a:r>
                                    <a:rPr lang="en-US"/>
                                    <a:t>Management System Review</a:t>
                                  </a:r>
                                </a:p>
                              </a:txBody>
                              <a:useSpRect/>
                            </a:txSp>
                          </a:sp>
                          <a:sp>
                            <a:nvSpPr>
                              <a:cNvPr id="2115" name="Text Box 96"/>
                              <a:cNvSpPr txBox="1">
                                <a:spLocks noChangeArrowheads="1"/>
                              </a:cNvSpPr>
                            </a:nvSpPr>
                            <a:spPr bwMode="auto">
                              <a:xfrm>
                                <a:off x="7546975" y="4829175"/>
                                <a:ext cx="1219200" cy="457200"/>
                              </a:xfrm>
                              <a:prstGeom prst="rect">
                                <a:avLst/>
                              </a:prstGeom>
                              <a:noFill/>
                              <a:ln w="9525" algn="ctr">
                                <a:noFill/>
                                <a:miter lim="800000"/>
                                <a:headEnd/>
                                <a:tailEnd/>
                              </a:ln>
                            </a:spPr>
                            <a:txSp>
                              <a:txBody>
                                <a:bodyPr>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pPr>
                                    <a:spcBef>
                                      <a:spcPct val="50000"/>
                                    </a:spcBef>
                                  </a:pPr>
                                  <a:r>
                                    <a:rPr lang="en-US" i="1" dirty="0"/>
                                    <a:t>Begin next cycle …</a:t>
                                  </a:r>
                                </a:p>
                              </a:txBody>
                              <a:useSpRect/>
                            </a:txSp>
                          </a:sp>
                        </a:grpSp>
                      </lc:lockedCanvas>
                    </a:graphicData>
                  </a:graphic>
                </wp:inline>
              </w:drawing>
            </w:r>
          </w:p>
          <w:p w:rsidR="00646A69" w:rsidRPr="00920966" w:rsidRDefault="00646A69" w:rsidP="00BE00B3">
            <w:pPr>
              <w:rPr>
                <w:rFonts w:ascii="Times New Roman" w:hAnsi="Times New Roman" w:cs="Times New Roman"/>
                <w:u w:val="single"/>
              </w:rPr>
            </w:pPr>
          </w:p>
        </w:tc>
      </w:tr>
      <w:tr w:rsidR="00C415B2" w:rsidRPr="00920966" w:rsidTr="00E326AD">
        <w:tc>
          <w:tcPr>
            <w:tcW w:w="9108" w:type="dxa"/>
            <w:gridSpan w:val="3"/>
          </w:tcPr>
          <w:p w:rsidR="00C415B2" w:rsidRDefault="00C415B2" w:rsidP="00C415B2">
            <w:pPr>
              <w:rPr>
                <w:rFonts w:ascii="Times New Roman" w:hAnsi="Times New Roman" w:cs="Times New Roman"/>
              </w:rPr>
            </w:pPr>
            <w:r w:rsidRPr="00920966">
              <w:rPr>
                <w:rFonts w:ascii="Times New Roman" w:hAnsi="Times New Roman" w:cs="Times New Roman"/>
              </w:rPr>
              <w:t xml:space="preserve">Workgroup looked at </w:t>
            </w:r>
            <w:r w:rsidR="00FC52C0">
              <w:rPr>
                <w:rFonts w:ascii="Times New Roman" w:hAnsi="Times New Roman" w:cs="Times New Roman"/>
              </w:rPr>
              <w:t>options for improving</w:t>
            </w:r>
            <w:r w:rsidR="002359D1">
              <w:rPr>
                <w:rFonts w:ascii="Times New Roman" w:hAnsi="Times New Roman" w:cs="Times New Roman"/>
              </w:rPr>
              <w:t xml:space="preserve"> </w:t>
            </w:r>
            <w:r w:rsidR="00613159">
              <w:rPr>
                <w:rFonts w:ascii="Times New Roman" w:hAnsi="Times New Roman" w:cs="Times New Roman"/>
              </w:rPr>
              <w:t>clarify</w:t>
            </w:r>
            <w:r w:rsidR="002359D1">
              <w:rPr>
                <w:rFonts w:ascii="Times New Roman" w:hAnsi="Times New Roman" w:cs="Times New Roman"/>
              </w:rPr>
              <w:t xml:space="preserve"> of organizational roles and procedures for considering the relevance of document and work products that are relevant to CBP goals and strategies, including those that </w:t>
            </w:r>
            <w:r w:rsidR="00613159">
              <w:rPr>
                <w:rFonts w:ascii="Times New Roman" w:hAnsi="Times New Roman" w:cs="Times New Roman"/>
              </w:rPr>
              <w:t>originate</w:t>
            </w:r>
            <w:r w:rsidR="002359D1">
              <w:rPr>
                <w:rFonts w:ascii="Times New Roman" w:hAnsi="Times New Roman" w:cs="Times New Roman"/>
              </w:rPr>
              <w:t xml:space="preserve"> both </w:t>
            </w:r>
            <w:r w:rsidR="00613159">
              <w:rPr>
                <w:rFonts w:ascii="Times New Roman" w:hAnsi="Times New Roman" w:cs="Times New Roman"/>
              </w:rPr>
              <w:t>internally</w:t>
            </w:r>
            <w:r w:rsidR="002359D1">
              <w:rPr>
                <w:rFonts w:ascii="Times New Roman" w:hAnsi="Times New Roman" w:cs="Times New Roman"/>
              </w:rPr>
              <w:t xml:space="preserve"> and externally.</w:t>
            </w:r>
            <w:r>
              <w:rPr>
                <w:rFonts w:ascii="Times New Roman" w:hAnsi="Times New Roman" w:cs="Times New Roman"/>
              </w:rPr>
              <w:t xml:space="preserve"> </w:t>
            </w:r>
          </w:p>
          <w:p w:rsidR="00C415B2" w:rsidRPr="00920966" w:rsidRDefault="00C415B2" w:rsidP="00C415B2">
            <w:pPr>
              <w:spacing w:line="240" w:lineRule="auto"/>
              <w:jc w:val="both"/>
              <w:rPr>
                <w:rFonts w:ascii="Times New Roman" w:hAnsi="Times New Roman" w:cs="Times New Roman"/>
                <w:u w:val="single"/>
              </w:rPr>
            </w:pPr>
          </w:p>
          <w:p w:rsidR="00C415B2" w:rsidRPr="00920966" w:rsidRDefault="00C415B2" w:rsidP="00C415B2">
            <w:pPr>
              <w:spacing w:line="240" w:lineRule="auto"/>
              <w:jc w:val="both"/>
              <w:rPr>
                <w:rFonts w:ascii="Times New Roman" w:hAnsi="Times New Roman" w:cs="Times New Roman"/>
              </w:rPr>
            </w:pPr>
            <w:r>
              <w:rPr>
                <w:rFonts w:ascii="Times New Roman" w:hAnsi="Times New Roman" w:cs="Times New Roman"/>
                <w:u w:val="single"/>
              </w:rPr>
              <w:t>Current p</w:t>
            </w:r>
            <w:r w:rsidRPr="00920966">
              <w:rPr>
                <w:rFonts w:ascii="Times New Roman" w:hAnsi="Times New Roman" w:cs="Times New Roman"/>
                <w:u w:val="single"/>
              </w:rPr>
              <w:t>roblem</w:t>
            </w:r>
            <w:r>
              <w:rPr>
                <w:rFonts w:ascii="Times New Roman" w:hAnsi="Times New Roman" w:cs="Times New Roman"/>
                <w:u w:val="single"/>
              </w:rPr>
              <w:t>s/considerations</w:t>
            </w:r>
            <w:r w:rsidRPr="00920966">
              <w:rPr>
                <w:rFonts w:ascii="Times New Roman" w:hAnsi="Times New Roman" w:cs="Times New Roman"/>
              </w:rPr>
              <w:t xml:space="preserve">:  </w:t>
            </w:r>
            <w:r w:rsidR="00AB6928">
              <w:rPr>
                <w:rFonts w:ascii="Times New Roman" w:hAnsi="Times New Roman" w:cs="Times New Roman"/>
              </w:rPr>
              <w:t xml:space="preserve">No established procedures to guide CBP groups in vetting documents and work products to prompt decisions on how they impact program goals and </w:t>
            </w:r>
            <w:r w:rsidR="00FE1F84">
              <w:rPr>
                <w:rFonts w:ascii="Times New Roman" w:hAnsi="Times New Roman" w:cs="Times New Roman"/>
              </w:rPr>
              <w:t>priorities</w:t>
            </w:r>
            <w:r w:rsidR="00AB6928">
              <w:rPr>
                <w:rFonts w:ascii="Times New Roman" w:hAnsi="Times New Roman" w:cs="Times New Roman"/>
              </w:rPr>
              <w:t>.</w:t>
            </w:r>
          </w:p>
          <w:p w:rsidR="00C415B2" w:rsidRDefault="00C415B2" w:rsidP="00C415B2">
            <w:pPr>
              <w:spacing w:line="240" w:lineRule="auto"/>
              <w:jc w:val="both"/>
              <w:rPr>
                <w:rFonts w:ascii="Times New Roman" w:hAnsi="Times New Roman" w:cs="Times New Roman"/>
                <w:u w:val="single"/>
              </w:rPr>
            </w:pPr>
          </w:p>
          <w:p w:rsidR="00C415B2" w:rsidRPr="002D00F5" w:rsidRDefault="00C415B2" w:rsidP="00C415B2">
            <w:pPr>
              <w:spacing w:line="240" w:lineRule="auto"/>
              <w:jc w:val="both"/>
              <w:rPr>
                <w:rFonts w:ascii="Times New Roman" w:hAnsi="Times New Roman" w:cs="Times New Roman"/>
              </w:rPr>
            </w:pPr>
            <w:r w:rsidRPr="00920966">
              <w:rPr>
                <w:rFonts w:ascii="Times New Roman" w:hAnsi="Times New Roman" w:cs="Times New Roman"/>
                <w:u w:val="single"/>
              </w:rPr>
              <w:t>Solution should</w:t>
            </w:r>
            <w:r w:rsidRPr="00920966">
              <w:rPr>
                <w:rFonts w:ascii="Times New Roman" w:hAnsi="Times New Roman" w:cs="Times New Roman"/>
              </w:rPr>
              <w:t xml:space="preserve">: </w:t>
            </w:r>
            <w:r w:rsidR="0034691F">
              <w:rPr>
                <w:rFonts w:ascii="Times New Roman" w:hAnsi="Times New Roman" w:cs="Times New Roman"/>
              </w:rPr>
              <w:t xml:space="preserve">Identify different types and sources of documents and work products and roles of different organizational groups to ensure proper consideration and to build </w:t>
            </w:r>
            <w:r w:rsidR="00FE1F84">
              <w:rPr>
                <w:rFonts w:ascii="Times New Roman" w:hAnsi="Times New Roman" w:cs="Times New Roman"/>
              </w:rPr>
              <w:t>awareness</w:t>
            </w:r>
            <w:r w:rsidR="0034691F">
              <w:rPr>
                <w:rFonts w:ascii="Times New Roman" w:hAnsi="Times New Roman" w:cs="Times New Roman"/>
              </w:rPr>
              <w:t>.</w:t>
            </w:r>
          </w:p>
          <w:p w:rsidR="00C415B2" w:rsidRPr="00920966" w:rsidRDefault="00C415B2" w:rsidP="00C415B2">
            <w:pPr>
              <w:rPr>
                <w:rFonts w:ascii="Times New Roman" w:hAnsi="Times New Roman" w:cs="Times New Roman"/>
              </w:rPr>
            </w:pPr>
          </w:p>
        </w:tc>
      </w:tr>
      <w:tr w:rsidR="00C415B2" w:rsidRPr="00A35380" w:rsidTr="00C415B2">
        <w:trPr>
          <w:gridAfter w:val="1"/>
          <w:wAfter w:w="1672" w:type="dxa"/>
        </w:trPr>
        <w:tc>
          <w:tcPr>
            <w:tcW w:w="7436" w:type="dxa"/>
            <w:gridSpan w:val="2"/>
          </w:tcPr>
          <w:p w:rsidR="00C415B2" w:rsidRPr="00A37C6A" w:rsidRDefault="00C415B2" w:rsidP="00C415B2">
            <w:pPr>
              <w:rPr>
                <w:rFonts w:ascii="Times New Roman" w:hAnsi="Times New Roman" w:cs="Times New Roman"/>
                <w:u w:val="single"/>
              </w:rPr>
            </w:pPr>
            <w:r w:rsidRPr="00A37C6A">
              <w:rPr>
                <w:rFonts w:ascii="Times New Roman" w:hAnsi="Times New Roman" w:cs="Times New Roman"/>
                <w:u w:val="single"/>
              </w:rPr>
              <w:t xml:space="preserve">Options for </w:t>
            </w:r>
            <w:r w:rsidR="009E4D7B">
              <w:rPr>
                <w:rFonts w:ascii="Times New Roman" w:hAnsi="Times New Roman" w:cs="Times New Roman"/>
                <w:u w:val="single"/>
              </w:rPr>
              <w:t>work product flow</w:t>
            </w:r>
          </w:p>
          <w:p w:rsidR="00C415B2" w:rsidRPr="00A37C6A" w:rsidRDefault="00C415B2" w:rsidP="00C415B2">
            <w:pPr>
              <w:rPr>
                <w:rFonts w:ascii="Times New Roman" w:hAnsi="Times New Roman" w:cs="Times New Roman"/>
                <w:u w:val="single"/>
              </w:rPr>
            </w:pPr>
          </w:p>
          <w:p w:rsidR="00C415B2" w:rsidRPr="00A37C6A" w:rsidRDefault="00C415B2" w:rsidP="00C415B2">
            <w:pPr>
              <w:pStyle w:val="ListParagraph"/>
              <w:numPr>
                <w:ilvl w:val="0"/>
                <w:numId w:val="10"/>
              </w:numPr>
              <w:ind w:left="360"/>
              <w:rPr>
                <w:sz w:val="22"/>
                <w:szCs w:val="22"/>
              </w:rPr>
            </w:pPr>
            <w:r w:rsidRPr="00A37C6A">
              <w:rPr>
                <w:sz w:val="22"/>
                <w:szCs w:val="22"/>
              </w:rPr>
              <w:t xml:space="preserve">Status quo – </w:t>
            </w:r>
            <w:r w:rsidR="00AB6967">
              <w:rPr>
                <w:sz w:val="22"/>
                <w:szCs w:val="22"/>
              </w:rPr>
              <w:t>No specific procedures</w:t>
            </w:r>
            <w:r w:rsidR="00122E5B">
              <w:rPr>
                <w:sz w:val="22"/>
                <w:szCs w:val="22"/>
              </w:rPr>
              <w:t xml:space="preserve"> for routing &amp; vetting work products</w:t>
            </w:r>
            <w:r w:rsidR="00AB6967">
              <w:rPr>
                <w:sz w:val="22"/>
                <w:szCs w:val="22"/>
              </w:rPr>
              <w:t xml:space="preserve"> </w:t>
            </w:r>
          </w:p>
          <w:p w:rsidR="00C415B2" w:rsidRPr="00CA30EA" w:rsidRDefault="00C415B2" w:rsidP="00CA30EA">
            <w:pPr>
              <w:rPr>
                <w:i/>
              </w:rPr>
            </w:pPr>
          </w:p>
          <w:p w:rsidR="00C415B2" w:rsidRPr="00A37C6A" w:rsidRDefault="00C415B2" w:rsidP="00C415B2">
            <w:pPr>
              <w:pStyle w:val="ListParagraph"/>
              <w:numPr>
                <w:ilvl w:val="0"/>
                <w:numId w:val="10"/>
              </w:numPr>
              <w:ind w:left="360"/>
              <w:rPr>
                <w:b/>
                <w:sz w:val="22"/>
                <w:szCs w:val="22"/>
              </w:rPr>
            </w:pPr>
            <w:r w:rsidRPr="00A37C6A">
              <w:rPr>
                <w:sz w:val="22"/>
                <w:szCs w:val="22"/>
              </w:rPr>
              <w:t xml:space="preserve">Option </w:t>
            </w:r>
            <w:r w:rsidR="00CA30EA">
              <w:rPr>
                <w:sz w:val="22"/>
                <w:szCs w:val="22"/>
              </w:rPr>
              <w:t>1</w:t>
            </w:r>
            <w:r w:rsidRPr="00A37C6A">
              <w:rPr>
                <w:sz w:val="22"/>
                <w:szCs w:val="22"/>
              </w:rPr>
              <w:t xml:space="preserve">: </w:t>
            </w:r>
            <w:r w:rsidR="00CE1158">
              <w:rPr>
                <w:sz w:val="22"/>
                <w:szCs w:val="22"/>
              </w:rPr>
              <w:t>MB oversight</w:t>
            </w:r>
            <w:r w:rsidR="00CA289A">
              <w:rPr>
                <w:sz w:val="22"/>
                <w:szCs w:val="22"/>
              </w:rPr>
              <w:t xml:space="preserve"> – strong role for MB to make sure work products are fully and </w:t>
            </w:r>
            <w:r w:rsidR="00BD7B02">
              <w:rPr>
                <w:sz w:val="22"/>
                <w:szCs w:val="22"/>
              </w:rPr>
              <w:t>strategically</w:t>
            </w:r>
            <w:r w:rsidR="00CA289A">
              <w:rPr>
                <w:sz w:val="22"/>
                <w:szCs w:val="22"/>
              </w:rPr>
              <w:t xml:space="preserve"> considered.</w:t>
            </w:r>
          </w:p>
          <w:p w:rsidR="00C415B2" w:rsidRPr="00A37C6A" w:rsidRDefault="00C415B2" w:rsidP="00C415B2">
            <w:pPr>
              <w:pStyle w:val="ListParagraph"/>
              <w:numPr>
                <w:ilvl w:val="1"/>
                <w:numId w:val="11"/>
              </w:numPr>
              <w:rPr>
                <w:i/>
                <w:sz w:val="22"/>
                <w:szCs w:val="22"/>
              </w:rPr>
            </w:pPr>
            <w:r w:rsidRPr="00A37C6A">
              <w:rPr>
                <w:i/>
                <w:sz w:val="22"/>
                <w:szCs w:val="22"/>
              </w:rPr>
              <w:t xml:space="preserve">Pro – </w:t>
            </w:r>
            <w:r w:rsidR="00F95D7C">
              <w:rPr>
                <w:i/>
                <w:sz w:val="22"/>
                <w:szCs w:val="22"/>
              </w:rPr>
              <w:t>Provides oversight and clarity to process</w:t>
            </w:r>
          </w:p>
          <w:p w:rsidR="00C415B2" w:rsidRPr="00A35380" w:rsidRDefault="00C415B2" w:rsidP="008F03DC">
            <w:pPr>
              <w:pStyle w:val="ListParagraph"/>
              <w:numPr>
                <w:ilvl w:val="1"/>
                <w:numId w:val="11"/>
              </w:numPr>
              <w:rPr>
                <w:i/>
                <w:sz w:val="22"/>
                <w:szCs w:val="22"/>
              </w:rPr>
            </w:pPr>
            <w:r w:rsidRPr="00A37C6A">
              <w:rPr>
                <w:i/>
                <w:sz w:val="22"/>
                <w:szCs w:val="22"/>
              </w:rPr>
              <w:t xml:space="preserve">Con – </w:t>
            </w:r>
            <w:r w:rsidR="008F03DC">
              <w:rPr>
                <w:i/>
                <w:sz w:val="22"/>
                <w:szCs w:val="22"/>
              </w:rPr>
              <w:t>May slow work flow?</w:t>
            </w:r>
          </w:p>
        </w:tc>
      </w:tr>
      <w:tr w:rsidR="00124DB0" w:rsidRPr="00920966" w:rsidTr="00B97976">
        <w:tc>
          <w:tcPr>
            <w:tcW w:w="9108" w:type="dxa"/>
            <w:gridSpan w:val="3"/>
          </w:tcPr>
          <w:p w:rsidR="00124DB0" w:rsidRPr="00313CF2" w:rsidRDefault="00124DB0" w:rsidP="00BE00B3">
            <w:pPr>
              <w:rPr>
                <w:rFonts w:ascii="Times New Roman" w:hAnsi="Times New Roman" w:cs="Times New Roman"/>
                <w:noProof/>
                <w:u w:val="single"/>
              </w:rPr>
            </w:pPr>
          </w:p>
        </w:tc>
      </w:tr>
      <w:tr w:rsidR="00124DB0" w:rsidRPr="00920966" w:rsidTr="00B97976">
        <w:tc>
          <w:tcPr>
            <w:tcW w:w="9108" w:type="dxa"/>
            <w:gridSpan w:val="3"/>
          </w:tcPr>
          <w:p w:rsidR="00124DB0" w:rsidRPr="00313CF2" w:rsidRDefault="00BA1925" w:rsidP="00BE00B3">
            <w:pPr>
              <w:rPr>
                <w:rFonts w:ascii="Times New Roman" w:hAnsi="Times New Roman" w:cs="Times New Roman"/>
                <w:noProof/>
                <w:u w:val="single"/>
              </w:rPr>
            </w:pPr>
            <w:r w:rsidRPr="00BA1925">
              <w:rPr>
                <w:rFonts w:ascii="Times New Roman" w:hAnsi="Times New Roman" w:cs="Times New Roman"/>
                <w:noProof/>
                <w:u w:val="single"/>
              </w:rPr>
              <w:lastRenderedPageBreak/>
              <w:drawing>
                <wp:inline distT="0" distB="0" distL="0" distR="0">
                  <wp:extent cx="5943600" cy="3932555"/>
                  <wp:effectExtent l="19050" t="0" r="0" b="0"/>
                  <wp:docPr id="2"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05800" cy="5495329"/>
                            <a:chOff x="533400" y="533400"/>
                            <a:chExt cx="8305800" cy="5495329"/>
                          </a:xfrm>
                        </a:grpSpPr>
                        <a:grpSp>
                          <a:nvGrpSpPr>
                            <a:cNvPr id="38" name="Group 37"/>
                            <a:cNvGrpSpPr/>
                          </a:nvGrpSpPr>
                          <a:grpSpPr>
                            <a:xfrm>
                              <a:off x="533400" y="533400"/>
                              <a:ext cx="8305800" cy="5495329"/>
                              <a:chOff x="533400" y="533400"/>
                              <a:chExt cx="8305800" cy="5495329"/>
                            </a:xfrm>
                          </a:grpSpPr>
                          <a:sp>
                            <a:nvSpPr>
                              <a:cNvPr id="41" name="Rounded Rectangle 40"/>
                              <a:cNvSpPr/>
                            </a:nvSpPr>
                            <a:spPr bwMode="auto">
                              <a:xfrm>
                                <a:off x="533400" y="685800"/>
                                <a:ext cx="1600200" cy="762000"/>
                              </a:xfrm>
                              <a:prstGeom prst="roundRect">
                                <a:avLst/>
                              </a:prstGeom>
                              <a:no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pPr marL="0" marR="0" indent="0" algn="l" defTabSz="914400" rtl="0" eaLnBrk="1" fontAlgn="base" latinLnBrk="0" hangingPunct="1">
                                    <a:lnSpc>
                                      <a:spcPct val="100000"/>
                                    </a:lnSpc>
                                    <a:spcBef>
                                      <a:spcPct val="0"/>
                                    </a:spcBef>
                                    <a:spcAft>
                                      <a:spcPct val="0"/>
                                    </a:spcAft>
                                    <a:buClrTx/>
                                    <a:buSzTx/>
                                    <a:buFontTx/>
                                    <a:buNone/>
                                    <a:tabLst/>
                                  </a:pPr>
                                  <a:endParaRPr kumimoji="0" lang="en-US" sz="1200" b="1" i="0" u="none" strike="noStrike" cap="none" normalizeH="0" baseline="0" smtClean="0">
                                    <a:ln>
                                      <a:noFill/>
                                    </a:ln>
                                    <a:solidFill>
                                      <a:schemeClr val="tx1"/>
                                    </a:solidFill>
                                    <a:effectLst/>
                                    <a:latin typeface="Arial" charset="0"/>
                                  </a:endParaRPr>
                                </a:p>
                              </a:txBody>
                              <a:useSpRect/>
                            </a:txSp>
                          </a:sp>
                          <a:sp>
                            <a:nvSpPr>
                              <a:cNvPr id="42" name="TextBox 41"/>
                              <a:cNvSpPr txBox="1"/>
                            </a:nvSpPr>
                            <a:spPr>
                              <a:xfrm>
                                <a:off x="533400" y="772180"/>
                                <a:ext cx="1600200" cy="523220"/>
                              </a:xfrm>
                              <a:prstGeom prst="rect">
                                <a:avLst/>
                              </a:prstGeom>
                              <a:noFill/>
                            </a:spPr>
                            <a:txSp>
                              <a:txBody>
                                <a:bodyPr wrap="square" rtlCol="0">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pPr algn="ctr"/>
                                  <a:r>
                                    <a:rPr lang="en-US" sz="1400" dirty="0" smtClean="0"/>
                                    <a:t>Advisory Committee</a:t>
                                  </a:r>
                                  <a:endParaRPr lang="en-US" sz="1400" dirty="0"/>
                                </a:p>
                              </a:txBody>
                              <a:useSpRect/>
                            </a:txSp>
                          </a:sp>
                          <a:sp>
                            <a:nvSpPr>
                              <a:cNvPr id="43" name="Rounded Rectangle 42"/>
                              <a:cNvSpPr/>
                            </a:nvSpPr>
                            <a:spPr bwMode="auto">
                              <a:xfrm>
                                <a:off x="533400" y="1828800"/>
                                <a:ext cx="1600200" cy="762000"/>
                              </a:xfrm>
                              <a:prstGeom prst="roundRect">
                                <a:avLst/>
                              </a:prstGeom>
                              <a:no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pPr marL="0" marR="0" indent="0" algn="l" defTabSz="914400" rtl="0" eaLnBrk="1" fontAlgn="base" latinLnBrk="0" hangingPunct="1">
                                    <a:lnSpc>
                                      <a:spcPct val="100000"/>
                                    </a:lnSpc>
                                    <a:spcBef>
                                      <a:spcPct val="0"/>
                                    </a:spcBef>
                                    <a:spcAft>
                                      <a:spcPct val="0"/>
                                    </a:spcAft>
                                    <a:buClrTx/>
                                    <a:buSzTx/>
                                    <a:buFontTx/>
                                    <a:buNone/>
                                    <a:tabLst/>
                                  </a:pPr>
                                  <a:endParaRPr kumimoji="0" lang="en-US" sz="1200" b="1" i="0" u="none" strike="noStrike" cap="none" normalizeH="0" baseline="0" smtClean="0">
                                    <a:ln>
                                      <a:noFill/>
                                    </a:ln>
                                    <a:solidFill>
                                      <a:schemeClr val="tx1"/>
                                    </a:solidFill>
                                    <a:effectLst/>
                                    <a:latin typeface="Arial" charset="0"/>
                                  </a:endParaRPr>
                                </a:p>
                              </a:txBody>
                              <a:useSpRect/>
                            </a:txSp>
                          </a:sp>
                          <a:sp>
                            <a:nvSpPr>
                              <a:cNvPr id="44" name="TextBox 43"/>
                              <a:cNvSpPr txBox="1"/>
                            </a:nvSpPr>
                            <a:spPr>
                              <a:xfrm>
                                <a:off x="533400" y="1915180"/>
                                <a:ext cx="1600200" cy="523220"/>
                              </a:xfrm>
                              <a:prstGeom prst="rect">
                                <a:avLst/>
                              </a:prstGeom>
                              <a:noFill/>
                            </a:spPr>
                            <a:txSp>
                              <a:txBody>
                                <a:bodyPr wrap="square" rtlCol="0">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pPr algn="ctr"/>
                                  <a:r>
                                    <a:rPr lang="en-US" sz="1400" dirty="0" smtClean="0"/>
                                    <a:t>GIT (</a:t>
                                  </a:r>
                                  <a:r>
                                    <a:rPr lang="en-US" sz="1400" dirty="0" err="1" smtClean="0"/>
                                    <a:t>wkgp</a:t>
                                  </a:r>
                                  <a:r>
                                    <a:rPr lang="en-US" sz="1400" dirty="0" smtClean="0"/>
                                    <a:t>) + STAR</a:t>
                                  </a:r>
                                  <a:endParaRPr lang="en-US" sz="1400" dirty="0"/>
                                </a:p>
                              </a:txBody>
                              <a:useSpRect/>
                            </a:txSp>
                          </a:sp>
                          <a:sp>
                            <a:nvSpPr>
                              <a:cNvPr id="47" name="Rounded Rectangle 46"/>
                              <a:cNvSpPr/>
                            </a:nvSpPr>
                            <a:spPr bwMode="auto">
                              <a:xfrm>
                                <a:off x="533400" y="2971800"/>
                                <a:ext cx="1600200" cy="762000"/>
                              </a:xfrm>
                              <a:prstGeom prst="roundRect">
                                <a:avLst/>
                              </a:prstGeom>
                              <a:no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pPr marL="0" marR="0" indent="0" algn="l" defTabSz="914400" rtl="0" eaLnBrk="1" fontAlgn="base" latinLnBrk="0" hangingPunct="1">
                                    <a:lnSpc>
                                      <a:spcPct val="100000"/>
                                    </a:lnSpc>
                                    <a:spcBef>
                                      <a:spcPct val="0"/>
                                    </a:spcBef>
                                    <a:spcAft>
                                      <a:spcPct val="0"/>
                                    </a:spcAft>
                                    <a:buClrTx/>
                                    <a:buSzTx/>
                                    <a:buFontTx/>
                                    <a:buNone/>
                                    <a:tabLst/>
                                  </a:pPr>
                                  <a:endParaRPr kumimoji="0" lang="en-US" sz="1200" b="1" i="0" u="none" strike="noStrike" cap="none" normalizeH="0" baseline="0" smtClean="0">
                                    <a:ln>
                                      <a:noFill/>
                                    </a:ln>
                                    <a:solidFill>
                                      <a:schemeClr val="tx1"/>
                                    </a:solidFill>
                                    <a:effectLst/>
                                    <a:latin typeface="Arial" charset="0"/>
                                  </a:endParaRPr>
                                </a:p>
                              </a:txBody>
                              <a:useSpRect/>
                            </a:txSp>
                          </a:sp>
                          <a:sp>
                            <a:nvSpPr>
                              <a:cNvPr id="48" name="TextBox 47"/>
                              <a:cNvSpPr txBox="1"/>
                            </a:nvSpPr>
                            <a:spPr>
                              <a:xfrm>
                                <a:off x="533400" y="3058180"/>
                                <a:ext cx="1600200" cy="523220"/>
                              </a:xfrm>
                              <a:prstGeom prst="rect">
                                <a:avLst/>
                              </a:prstGeom>
                              <a:noFill/>
                            </a:spPr>
                            <a:txSp>
                              <a:txBody>
                                <a:bodyPr wrap="square" rtlCol="0">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pPr algn="ctr"/>
                                  <a:r>
                                    <a:rPr lang="en-US" sz="1400" dirty="0" smtClean="0"/>
                                    <a:t>Partners &amp;</a:t>
                                  </a:r>
                                </a:p>
                                <a:p>
                                  <a:pPr algn="ctr"/>
                                  <a:r>
                                    <a:rPr lang="en-US" sz="1400" dirty="0" smtClean="0"/>
                                    <a:t>Independents</a:t>
                                  </a:r>
                                  <a:endParaRPr lang="en-US" sz="1400" dirty="0"/>
                                </a:p>
                              </a:txBody>
                              <a:useSpRect/>
                            </a:txSp>
                          </a:sp>
                          <a:sp>
                            <a:nvSpPr>
                              <a:cNvPr id="49" name="Rounded Rectangle 48"/>
                              <a:cNvSpPr/>
                            </a:nvSpPr>
                            <a:spPr bwMode="auto">
                              <a:xfrm>
                                <a:off x="533400" y="4114800"/>
                                <a:ext cx="1600200" cy="762000"/>
                              </a:xfrm>
                              <a:prstGeom prst="roundRect">
                                <a:avLst/>
                              </a:prstGeom>
                              <a:no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pPr marL="0" marR="0" indent="0" algn="l" defTabSz="914400" rtl="0" eaLnBrk="1" fontAlgn="base" latinLnBrk="0" hangingPunct="1">
                                    <a:lnSpc>
                                      <a:spcPct val="100000"/>
                                    </a:lnSpc>
                                    <a:spcBef>
                                      <a:spcPct val="0"/>
                                    </a:spcBef>
                                    <a:spcAft>
                                      <a:spcPct val="0"/>
                                    </a:spcAft>
                                    <a:buClrTx/>
                                    <a:buSzTx/>
                                    <a:buFontTx/>
                                    <a:buNone/>
                                    <a:tabLst/>
                                  </a:pPr>
                                  <a:endParaRPr kumimoji="0" lang="en-US" sz="1200" b="1" i="0" u="none" strike="noStrike" cap="none" normalizeH="0" baseline="0" smtClean="0">
                                    <a:ln>
                                      <a:noFill/>
                                    </a:ln>
                                    <a:solidFill>
                                      <a:schemeClr val="tx1"/>
                                    </a:solidFill>
                                    <a:effectLst/>
                                    <a:latin typeface="Arial" charset="0"/>
                                  </a:endParaRPr>
                                </a:p>
                              </a:txBody>
                              <a:useSpRect/>
                            </a:txSp>
                          </a:sp>
                          <a:sp>
                            <a:nvSpPr>
                              <a:cNvPr id="50" name="TextBox 49"/>
                              <a:cNvSpPr txBox="1"/>
                            </a:nvSpPr>
                            <a:spPr>
                              <a:xfrm>
                                <a:off x="533400" y="4201180"/>
                                <a:ext cx="1600200" cy="738664"/>
                              </a:xfrm>
                              <a:prstGeom prst="rect">
                                <a:avLst/>
                              </a:prstGeom>
                              <a:noFill/>
                            </a:spPr>
                            <a:txSp>
                              <a:txBody>
                                <a:bodyPr wrap="square" rtlCol="0">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pPr algn="ctr"/>
                                  <a:r>
                                    <a:rPr lang="en-US" sz="1400" dirty="0" smtClean="0"/>
                                    <a:t>Non Partners (e.g. external evaluators)</a:t>
                                  </a:r>
                                  <a:endParaRPr lang="en-US" sz="1400" dirty="0"/>
                                </a:p>
                              </a:txBody>
                              <a:useSpRect/>
                            </a:txSp>
                          </a:sp>
                          <a:sp>
                            <a:nvSpPr>
                              <a:cNvPr id="51" name="TextBox 50"/>
                              <a:cNvSpPr txBox="1"/>
                            </a:nvSpPr>
                            <a:spPr>
                              <a:xfrm>
                                <a:off x="2514600" y="1905000"/>
                                <a:ext cx="1219200" cy="830997"/>
                              </a:xfrm>
                              <a:prstGeom prst="rect">
                                <a:avLst/>
                              </a:prstGeom>
                              <a:noFill/>
                            </a:spPr>
                            <a:txSp>
                              <a:txBody>
                                <a:bodyPr wrap="square" rtlCol="0">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pPr>
                                    <a:buFont typeface="Arial" pitchFamily="34" charset="0"/>
                                    <a:buChar char="•"/>
                                  </a:pPr>
                                  <a:r>
                                    <a:rPr lang="en-US" dirty="0" smtClean="0"/>
                                    <a:t>Workplan</a:t>
                                  </a:r>
                                </a:p>
                                <a:p>
                                  <a:pPr>
                                    <a:buFont typeface="Arial" pitchFamily="34" charset="0"/>
                                    <a:buChar char="•"/>
                                  </a:pPr>
                                  <a:r>
                                    <a:rPr lang="en-US" dirty="0" smtClean="0"/>
                                    <a:t>Protocols</a:t>
                                  </a:r>
                                </a:p>
                                <a:p>
                                  <a:pPr>
                                    <a:buFont typeface="Arial" pitchFamily="34" charset="0"/>
                                    <a:buChar char="•"/>
                                  </a:pPr>
                                  <a:r>
                                    <a:rPr lang="en-US" dirty="0" smtClean="0"/>
                                    <a:t>Project Plans</a:t>
                                  </a:r>
                                </a:p>
                                <a:p>
                                  <a:pPr>
                                    <a:buFont typeface="Arial" pitchFamily="34" charset="0"/>
                                    <a:buChar char="•"/>
                                  </a:pPr>
                                  <a:r>
                                    <a:rPr lang="en-US" dirty="0" smtClean="0"/>
                                    <a:t>Synthesis</a:t>
                                  </a:r>
                                  <a:endParaRPr lang="en-US" dirty="0"/>
                                </a:p>
                              </a:txBody>
                              <a:useSpRect/>
                            </a:txSp>
                          </a:sp>
                          <a:sp>
                            <a:nvSpPr>
                              <a:cNvPr id="53" name="TextBox 52"/>
                              <a:cNvSpPr txBox="1"/>
                            </a:nvSpPr>
                            <a:spPr>
                              <a:xfrm>
                                <a:off x="4114800" y="2052935"/>
                                <a:ext cx="1219200" cy="461665"/>
                              </a:xfrm>
                              <a:prstGeom prst="rect">
                                <a:avLst/>
                              </a:prstGeom>
                              <a:noFill/>
                            </a:spPr>
                            <a:txSp>
                              <a:txBody>
                                <a:bodyPr wrap="square" rtlCol="0">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pPr algn="ctr"/>
                                  <a:r>
                                    <a:rPr lang="en-US" dirty="0" smtClean="0"/>
                                    <a:t>Management Board</a:t>
                                  </a:r>
                                  <a:endParaRPr lang="en-US" dirty="0"/>
                                </a:p>
                              </a:txBody>
                              <a:useSpRect/>
                            </a:txSp>
                          </a:sp>
                          <a:sp>
                            <a:nvSpPr>
                              <a:cNvPr id="55" name="TextBox 54"/>
                              <a:cNvSpPr txBox="1"/>
                            </a:nvSpPr>
                            <a:spPr>
                              <a:xfrm>
                                <a:off x="5486400" y="1981200"/>
                                <a:ext cx="1219200" cy="646331"/>
                              </a:xfrm>
                              <a:prstGeom prst="rect">
                                <a:avLst/>
                              </a:prstGeom>
                              <a:noFill/>
                            </a:spPr>
                            <a:txSp>
                              <a:txBody>
                                <a:bodyPr wrap="square" rtlCol="0">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pPr algn="ctr"/>
                                  <a:r>
                                    <a:rPr lang="en-US" dirty="0" smtClean="0"/>
                                    <a:t>Principals Staff Committee</a:t>
                                  </a:r>
                                  <a:endParaRPr lang="en-US" dirty="0"/>
                                </a:p>
                              </a:txBody>
                              <a:useSpRect/>
                            </a:txSp>
                          </a:sp>
                          <a:sp>
                            <a:nvSpPr>
                              <a:cNvPr id="56" name="TextBox 55"/>
                              <a:cNvSpPr txBox="1"/>
                            </a:nvSpPr>
                            <a:spPr>
                              <a:xfrm>
                                <a:off x="2590800" y="540603"/>
                                <a:ext cx="1219200" cy="646331"/>
                              </a:xfrm>
                              <a:prstGeom prst="rect">
                                <a:avLst/>
                              </a:prstGeom>
                              <a:noFill/>
                            </a:spPr>
                            <a:txSp>
                              <a:txBody>
                                <a:bodyPr wrap="square" rtlCol="0">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pPr>
                                    <a:buFont typeface="Arial" pitchFamily="34" charset="0"/>
                                    <a:buChar char="•"/>
                                  </a:pPr>
                                  <a:r>
                                    <a:rPr lang="en-US" dirty="0" smtClean="0"/>
                                    <a:t>CAC</a:t>
                                  </a:r>
                                </a:p>
                                <a:p>
                                  <a:pPr>
                                    <a:buFont typeface="Arial" pitchFamily="34" charset="0"/>
                                    <a:buChar char="•"/>
                                  </a:pPr>
                                  <a:r>
                                    <a:rPr lang="en-US" dirty="0" smtClean="0"/>
                                    <a:t>LGAC</a:t>
                                  </a:r>
                                </a:p>
                                <a:p>
                                  <a:pPr>
                                    <a:buFont typeface="Arial" pitchFamily="34" charset="0"/>
                                    <a:buChar char="•"/>
                                  </a:pPr>
                                  <a:r>
                                    <a:rPr lang="en-US" dirty="0" smtClean="0"/>
                                    <a:t>STAC</a:t>
                                  </a:r>
                                  <a:endParaRPr lang="en-US" dirty="0"/>
                                </a:p>
                              </a:txBody>
                              <a:useSpRect/>
                            </a:txSp>
                          </a:sp>
                          <a:sp>
                            <a:nvSpPr>
                              <a:cNvPr id="58" name="TextBox 57"/>
                              <a:cNvSpPr txBox="1"/>
                            </a:nvSpPr>
                            <a:spPr>
                              <a:xfrm>
                                <a:off x="3886200" y="688538"/>
                                <a:ext cx="1600200" cy="276999"/>
                              </a:xfrm>
                              <a:prstGeom prst="rect">
                                <a:avLst/>
                              </a:prstGeom>
                              <a:noFill/>
                            </a:spPr>
                            <a:txSp>
                              <a:txBody>
                                <a:bodyPr wrap="square" rtlCol="0">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pPr algn="ctr"/>
                                  <a:r>
                                    <a:rPr lang="en-US" dirty="0" smtClean="0"/>
                                    <a:t>Recommendations</a:t>
                                  </a:r>
                                  <a:endParaRPr lang="en-US" dirty="0"/>
                                </a:p>
                              </a:txBody>
                              <a:useSpRect/>
                            </a:txSp>
                          </a:sp>
                          <a:sp>
                            <a:nvSpPr>
                              <a:cNvPr id="60" name="TextBox 59"/>
                              <a:cNvSpPr txBox="1"/>
                            </a:nvSpPr>
                            <a:spPr>
                              <a:xfrm>
                                <a:off x="5638800" y="533400"/>
                                <a:ext cx="1447800" cy="830997"/>
                              </a:xfrm>
                              <a:prstGeom prst="rect">
                                <a:avLst/>
                              </a:prstGeom>
                              <a:noFill/>
                            </a:spPr>
                            <a:txSp>
                              <a:txBody>
                                <a:bodyPr wrap="square" rtlCol="0">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pPr algn="ctr"/>
                                  <a:r>
                                    <a:rPr lang="en-US" dirty="0" smtClean="0"/>
                                    <a:t>Executive Council &amp; </a:t>
                                  </a:r>
                                </a:p>
                                <a:p>
                                  <a:pPr algn="ctr"/>
                                  <a:r>
                                    <a:rPr lang="en-US" dirty="0" smtClean="0"/>
                                    <a:t>Principals Staff Committee</a:t>
                                  </a:r>
                                  <a:endParaRPr lang="en-US" dirty="0"/>
                                </a:p>
                              </a:txBody>
                              <a:useSpRect/>
                            </a:txSp>
                          </a:sp>
                          <a:sp>
                            <a:nvSpPr>
                              <a:cNvPr id="61" name="TextBox 60"/>
                              <a:cNvSpPr txBox="1"/>
                            </a:nvSpPr>
                            <a:spPr>
                              <a:xfrm>
                                <a:off x="3733800" y="2161401"/>
                                <a:ext cx="381000" cy="276999"/>
                              </a:xfrm>
                              <a:prstGeom prst="rect">
                                <a:avLst/>
                              </a:prstGeom>
                              <a:noFill/>
                            </a:spPr>
                            <a:txSp>
                              <a:txBody>
                                <a:bodyPr wrap="square" rtlCol="0">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r>
                                    <a:rPr lang="en-US" dirty="0" smtClean="0">
                                      <a:sym typeface="Wingdings" pitchFamily="2" charset="2"/>
                                    </a:rPr>
                                    <a:t> </a:t>
                                  </a:r>
                                  <a:endParaRPr lang="en-US" dirty="0"/>
                                </a:p>
                              </a:txBody>
                              <a:useSpRect/>
                            </a:txSp>
                          </a:sp>
                          <a:sp>
                            <a:nvSpPr>
                              <a:cNvPr id="62" name="TextBox 61"/>
                              <a:cNvSpPr txBox="1"/>
                            </a:nvSpPr>
                            <a:spPr>
                              <a:xfrm>
                                <a:off x="5257800" y="2161401"/>
                                <a:ext cx="381000" cy="276999"/>
                              </a:xfrm>
                              <a:prstGeom prst="rect">
                                <a:avLst/>
                              </a:prstGeom>
                              <a:noFill/>
                            </a:spPr>
                            <a:txSp>
                              <a:txBody>
                                <a:bodyPr wrap="square" rtlCol="0">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r>
                                    <a:rPr lang="en-US" dirty="0" smtClean="0">
                                      <a:sym typeface="Wingdings" pitchFamily="2" charset="2"/>
                                    </a:rPr>
                                    <a:t> </a:t>
                                  </a:r>
                                  <a:endParaRPr lang="en-US" dirty="0"/>
                                </a:p>
                              </a:txBody>
                              <a:useSpRect/>
                            </a:txSp>
                          </a:sp>
                          <a:sp>
                            <a:nvSpPr>
                              <a:cNvPr id="63" name="TextBox 62"/>
                              <a:cNvSpPr txBox="1"/>
                            </a:nvSpPr>
                            <a:spPr>
                              <a:xfrm>
                                <a:off x="3429000" y="713601"/>
                                <a:ext cx="381000" cy="276999"/>
                              </a:xfrm>
                              <a:prstGeom prst="rect">
                                <a:avLst/>
                              </a:prstGeom>
                              <a:noFill/>
                            </a:spPr>
                            <a:txSp>
                              <a:txBody>
                                <a:bodyPr wrap="square" rtlCol="0">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r>
                                    <a:rPr lang="en-US" dirty="0" smtClean="0">
                                      <a:sym typeface="Wingdings" pitchFamily="2" charset="2"/>
                                    </a:rPr>
                                    <a:t> </a:t>
                                  </a:r>
                                  <a:endParaRPr lang="en-US" dirty="0"/>
                                </a:p>
                              </a:txBody>
                              <a:useSpRect/>
                            </a:txSp>
                          </a:sp>
                          <a:sp>
                            <a:nvSpPr>
                              <a:cNvPr id="64" name="TextBox 63"/>
                              <a:cNvSpPr txBox="1"/>
                            </a:nvSpPr>
                            <a:spPr>
                              <a:xfrm>
                                <a:off x="5562600" y="685800"/>
                                <a:ext cx="381000" cy="276999"/>
                              </a:xfrm>
                              <a:prstGeom prst="rect">
                                <a:avLst/>
                              </a:prstGeom>
                              <a:noFill/>
                            </a:spPr>
                            <a:txSp>
                              <a:txBody>
                                <a:bodyPr wrap="square" rtlCol="0">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r>
                                    <a:rPr lang="en-US" dirty="0" smtClean="0">
                                      <a:sym typeface="Wingdings" pitchFamily="2" charset="2"/>
                                    </a:rPr>
                                    <a:t> </a:t>
                                  </a:r>
                                  <a:endParaRPr lang="en-US" dirty="0"/>
                                </a:p>
                              </a:txBody>
                              <a:useSpRect/>
                            </a:txSp>
                          </a:sp>
                          <a:sp>
                            <a:nvSpPr>
                              <a:cNvPr id="65" name="TextBox 64"/>
                              <a:cNvSpPr txBox="1"/>
                            </a:nvSpPr>
                            <a:spPr>
                              <a:xfrm>
                                <a:off x="6934200" y="685800"/>
                                <a:ext cx="381000" cy="276999"/>
                              </a:xfrm>
                              <a:prstGeom prst="rect">
                                <a:avLst/>
                              </a:prstGeom>
                              <a:noFill/>
                            </a:spPr>
                            <a:txSp>
                              <a:txBody>
                                <a:bodyPr wrap="square" rtlCol="0">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r>
                                    <a:rPr lang="en-US" dirty="0" smtClean="0">
                                      <a:sym typeface="Wingdings" pitchFamily="2" charset="2"/>
                                    </a:rPr>
                                    <a:t> </a:t>
                                  </a:r>
                                  <a:endParaRPr lang="en-US" dirty="0"/>
                                </a:p>
                              </a:txBody>
                              <a:useSpRect/>
                            </a:txSp>
                          </a:sp>
                          <a:sp>
                            <a:nvSpPr>
                              <a:cNvPr id="67" name="TextBox 66"/>
                              <a:cNvSpPr txBox="1"/>
                            </a:nvSpPr>
                            <a:spPr>
                              <a:xfrm>
                                <a:off x="7239000" y="685800"/>
                                <a:ext cx="1600200" cy="276999"/>
                              </a:xfrm>
                              <a:prstGeom prst="rect">
                                <a:avLst/>
                              </a:prstGeom>
                              <a:noFill/>
                            </a:spPr>
                            <a:txSp>
                              <a:txBody>
                                <a:bodyPr wrap="square" rtlCol="0">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pPr algn="ctr"/>
                                  <a:r>
                                    <a:rPr lang="en-US" dirty="0" smtClean="0"/>
                                    <a:t>Management Board</a:t>
                                  </a:r>
                                  <a:endParaRPr lang="en-US" dirty="0"/>
                                </a:p>
                              </a:txBody>
                              <a:useSpRect/>
                            </a:txSp>
                          </a:sp>
                          <a:sp>
                            <a:nvSpPr>
                              <a:cNvPr id="68" name="TextBox 67"/>
                              <a:cNvSpPr txBox="1"/>
                            </a:nvSpPr>
                            <a:spPr>
                              <a:xfrm>
                                <a:off x="2590800" y="1411069"/>
                                <a:ext cx="1219200" cy="276999"/>
                              </a:xfrm>
                              <a:prstGeom prst="rect">
                                <a:avLst/>
                              </a:prstGeom>
                              <a:noFill/>
                            </a:spPr>
                            <a:txSp>
                              <a:txBody>
                                <a:bodyPr wrap="square" rtlCol="0">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pPr>
                                    <a:buFont typeface="Arial" pitchFamily="34" charset="0"/>
                                    <a:buChar char="•"/>
                                  </a:pPr>
                                  <a:r>
                                    <a:rPr lang="en-US" dirty="0" smtClean="0"/>
                                    <a:t>STAC</a:t>
                                  </a:r>
                                  <a:endParaRPr lang="en-US" dirty="0"/>
                                </a:p>
                              </a:txBody>
                              <a:useSpRect/>
                            </a:txSp>
                          </a:sp>
                          <a:sp>
                            <a:nvSpPr>
                              <a:cNvPr id="69" name="TextBox 68"/>
                              <a:cNvSpPr txBox="1"/>
                            </a:nvSpPr>
                            <a:spPr>
                              <a:xfrm>
                                <a:off x="3810000" y="1371600"/>
                                <a:ext cx="1600200" cy="461665"/>
                              </a:xfrm>
                              <a:prstGeom prst="rect">
                                <a:avLst/>
                              </a:prstGeom>
                              <a:noFill/>
                            </a:spPr>
                            <a:txSp>
                              <a:txBody>
                                <a:bodyPr wrap="square" rtlCol="0">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pPr algn="ctr"/>
                                  <a:r>
                                    <a:rPr lang="en-US" dirty="0" smtClean="0"/>
                                    <a:t>GIT solicited </a:t>
                                  </a:r>
                                </a:p>
                                <a:p>
                                  <a:pPr algn="ctr"/>
                                  <a:r>
                                    <a:rPr lang="en-US" dirty="0" smtClean="0"/>
                                    <a:t>Self nominated</a:t>
                                  </a:r>
                                  <a:endParaRPr lang="en-US" dirty="0"/>
                                </a:p>
                              </a:txBody>
                              <a:useSpRect/>
                            </a:txSp>
                          </a:sp>
                          <a:sp>
                            <a:nvSpPr>
                              <a:cNvPr id="70" name="TextBox 69"/>
                              <a:cNvSpPr txBox="1"/>
                            </a:nvSpPr>
                            <a:spPr>
                              <a:xfrm>
                                <a:off x="3429000" y="1399401"/>
                                <a:ext cx="381000" cy="276999"/>
                              </a:xfrm>
                              <a:prstGeom prst="rect">
                                <a:avLst/>
                              </a:prstGeom>
                              <a:noFill/>
                            </a:spPr>
                            <a:txSp>
                              <a:txBody>
                                <a:bodyPr wrap="square" rtlCol="0">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r>
                                    <a:rPr lang="en-US" dirty="0" smtClean="0">
                                      <a:sym typeface="Wingdings" pitchFamily="2" charset="2"/>
                                    </a:rPr>
                                    <a:t> </a:t>
                                  </a:r>
                                  <a:endParaRPr lang="en-US" dirty="0"/>
                                </a:p>
                              </a:txBody>
                              <a:useSpRect/>
                            </a:txSp>
                          </a:sp>
                          <a:sp>
                            <a:nvSpPr>
                              <a:cNvPr id="71" name="TextBox 70"/>
                              <a:cNvSpPr txBox="1"/>
                            </a:nvSpPr>
                            <a:spPr>
                              <a:xfrm>
                                <a:off x="5562600" y="1447800"/>
                                <a:ext cx="381000" cy="276999"/>
                              </a:xfrm>
                              <a:prstGeom prst="rect">
                                <a:avLst/>
                              </a:prstGeom>
                              <a:noFill/>
                            </a:spPr>
                            <a:txSp>
                              <a:txBody>
                                <a:bodyPr wrap="square" rtlCol="0">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r>
                                    <a:rPr lang="en-US" dirty="0" smtClean="0">
                                      <a:sym typeface="Wingdings" pitchFamily="2" charset="2"/>
                                    </a:rPr>
                                    <a:t> </a:t>
                                  </a:r>
                                  <a:endParaRPr lang="en-US" dirty="0"/>
                                </a:p>
                              </a:txBody>
                              <a:useSpRect/>
                            </a:txSp>
                          </a:sp>
                          <a:sp>
                            <a:nvSpPr>
                              <a:cNvPr id="72" name="TextBox 71"/>
                              <a:cNvSpPr txBox="1"/>
                            </a:nvSpPr>
                            <a:spPr>
                              <a:xfrm>
                                <a:off x="5715000" y="1447800"/>
                                <a:ext cx="1600200" cy="276999"/>
                              </a:xfrm>
                              <a:prstGeom prst="rect">
                                <a:avLst/>
                              </a:prstGeom>
                              <a:noFill/>
                            </a:spPr>
                            <a:txSp>
                              <a:txBody>
                                <a:bodyPr wrap="square" rtlCol="0">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pPr algn="ctr"/>
                                  <a:r>
                                    <a:rPr lang="en-US" dirty="0" smtClean="0"/>
                                    <a:t>GIT obligation</a:t>
                                  </a:r>
                                  <a:endParaRPr lang="en-US" dirty="0"/>
                                </a:p>
                              </a:txBody>
                              <a:useSpRect/>
                            </a:txSp>
                          </a:sp>
                          <a:sp>
                            <a:nvSpPr>
                              <a:cNvPr id="28" name="TextBox 27"/>
                              <a:cNvSpPr txBox="1"/>
                            </a:nvSpPr>
                            <a:spPr>
                              <a:xfrm>
                                <a:off x="2286000" y="3055203"/>
                                <a:ext cx="1524000" cy="646331"/>
                              </a:xfrm>
                              <a:prstGeom prst="rect">
                                <a:avLst/>
                              </a:prstGeom>
                              <a:noFill/>
                            </a:spPr>
                            <a:txSp>
                              <a:txBody>
                                <a:bodyPr wrap="square" rtlCol="0">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pPr>
                                    <a:buFont typeface="Arial" pitchFamily="34" charset="0"/>
                                    <a:buChar char="•"/>
                                  </a:pPr>
                                  <a:r>
                                    <a:rPr lang="en-US" dirty="0" smtClean="0"/>
                                    <a:t>Strategies</a:t>
                                  </a:r>
                                </a:p>
                                <a:p>
                                  <a:pPr>
                                    <a:buFont typeface="Arial" pitchFamily="34" charset="0"/>
                                    <a:buChar char="•"/>
                                  </a:pPr>
                                  <a:r>
                                    <a:rPr lang="en-US" dirty="0" smtClean="0"/>
                                    <a:t>Research/Demos</a:t>
                                  </a:r>
                                </a:p>
                                <a:p>
                                  <a:pPr>
                                    <a:buFont typeface="Arial" pitchFamily="34" charset="0"/>
                                    <a:buChar char="•"/>
                                  </a:pPr>
                                  <a:r>
                                    <a:rPr lang="en-US" dirty="0" smtClean="0"/>
                                    <a:t>Evaluations</a:t>
                                  </a:r>
                                  <a:endParaRPr lang="en-US" dirty="0"/>
                                </a:p>
                              </a:txBody>
                              <a:useSpRect/>
                            </a:txSp>
                          </a:sp>
                          <a:sp>
                            <a:nvSpPr>
                              <a:cNvPr id="29" name="TextBox 28"/>
                              <a:cNvSpPr txBox="1"/>
                            </a:nvSpPr>
                            <a:spPr>
                              <a:xfrm>
                                <a:off x="4114800" y="3203138"/>
                                <a:ext cx="1219200" cy="461665"/>
                              </a:xfrm>
                              <a:prstGeom prst="rect">
                                <a:avLst/>
                              </a:prstGeom>
                              <a:noFill/>
                            </a:spPr>
                            <a:txSp>
                              <a:txBody>
                                <a:bodyPr wrap="square" rtlCol="0">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pPr algn="ctr"/>
                                  <a:r>
                                    <a:rPr lang="en-US" dirty="0" smtClean="0"/>
                                    <a:t>Management Board</a:t>
                                  </a:r>
                                  <a:endParaRPr lang="en-US" dirty="0"/>
                                </a:p>
                              </a:txBody>
                              <a:useSpRect/>
                            </a:txSp>
                          </a:sp>
                          <a:sp>
                            <a:nvSpPr>
                              <a:cNvPr id="30" name="TextBox 29"/>
                              <a:cNvSpPr txBox="1"/>
                            </a:nvSpPr>
                            <a:spPr>
                              <a:xfrm>
                                <a:off x="5486400" y="3131403"/>
                                <a:ext cx="1219200" cy="830997"/>
                              </a:xfrm>
                              <a:prstGeom prst="rect">
                                <a:avLst/>
                              </a:prstGeom>
                              <a:noFill/>
                            </a:spPr>
                            <a:txSp>
                              <a:txBody>
                                <a:bodyPr wrap="square" rtlCol="0">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pPr algn="ctr"/>
                                  <a:r>
                                    <a:rPr lang="en-US" dirty="0" smtClean="0"/>
                                    <a:t>GITs</a:t>
                                  </a:r>
                                </a:p>
                                <a:p>
                                  <a:pPr algn="ctr"/>
                                  <a:r>
                                    <a:rPr lang="en-US" dirty="0" smtClean="0"/>
                                    <a:t>Advance Committee</a:t>
                                  </a:r>
                                </a:p>
                                <a:p>
                                  <a:pPr algn="ctr"/>
                                  <a:r>
                                    <a:rPr lang="en-US" dirty="0" smtClean="0"/>
                                    <a:t>PSC</a:t>
                                  </a:r>
                                  <a:endParaRPr lang="en-US" dirty="0"/>
                                </a:p>
                              </a:txBody>
                              <a:useSpRect/>
                            </a:txSp>
                          </a:sp>
                          <a:sp>
                            <a:nvSpPr>
                              <a:cNvPr id="31" name="TextBox 30"/>
                              <a:cNvSpPr txBox="1"/>
                            </a:nvSpPr>
                            <a:spPr>
                              <a:xfrm>
                                <a:off x="3733800" y="3311604"/>
                                <a:ext cx="381000" cy="276999"/>
                              </a:xfrm>
                              <a:prstGeom prst="rect">
                                <a:avLst/>
                              </a:prstGeom>
                              <a:noFill/>
                            </a:spPr>
                            <a:txSp>
                              <a:txBody>
                                <a:bodyPr wrap="square" rtlCol="0">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r>
                                    <a:rPr lang="en-US" dirty="0" smtClean="0">
                                      <a:sym typeface="Wingdings" pitchFamily="2" charset="2"/>
                                    </a:rPr>
                                    <a:t> </a:t>
                                  </a:r>
                                  <a:endParaRPr lang="en-US" dirty="0"/>
                                </a:p>
                              </a:txBody>
                              <a:useSpRect/>
                            </a:txSp>
                          </a:sp>
                          <a:sp>
                            <a:nvSpPr>
                              <a:cNvPr id="32" name="TextBox 31"/>
                              <a:cNvSpPr txBox="1"/>
                            </a:nvSpPr>
                            <a:spPr>
                              <a:xfrm>
                                <a:off x="5257800" y="3311604"/>
                                <a:ext cx="381000" cy="276999"/>
                              </a:xfrm>
                              <a:prstGeom prst="rect">
                                <a:avLst/>
                              </a:prstGeom>
                              <a:noFill/>
                            </a:spPr>
                            <a:txSp>
                              <a:txBody>
                                <a:bodyPr wrap="square" rtlCol="0">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r>
                                    <a:rPr lang="en-US" dirty="0" smtClean="0">
                                      <a:sym typeface="Wingdings" pitchFamily="2" charset="2"/>
                                    </a:rPr>
                                    <a:t> </a:t>
                                  </a:r>
                                  <a:endParaRPr lang="en-US" dirty="0"/>
                                </a:p>
                              </a:txBody>
                              <a:useSpRect/>
                            </a:txSp>
                          </a:sp>
                          <a:sp>
                            <a:nvSpPr>
                              <a:cNvPr id="33" name="TextBox 32"/>
                              <a:cNvSpPr txBox="1"/>
                            </a:nvSpPr>
                            <a:spPr>
                              <a:xfrm>
                                <a:off x="2209800" y="4274403"/>
                                <a:ext cx="1600200" cy="1754326"/>
                              </a:xfrm>
                              <a:prstGeom prst="rect">
                                <a:avLst/>
                              </a:prstGeom>
                              <a:noFill/>
                            </a:spPr>
                            <a:txSp>
                              <a:txBody>
                                <a:bodyPr wrap="square" rtlCol="0">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pPr>
                                    <a:buFont typeface="Arial" pitchFamily="34" charset="0"/>
                                    <a:buChar char="•"/>
                                  </a:pPr>
                                  <a:r>
                                    <a:rPr lang="en-US" dirty="0" smtClean="0"/>
                                    <a:t>Stakeholder Group </a:t>
                                  </a:r>
                                </a:p>
                                <a:p>
                                  <a:pPr>
                                    <a:buFont typeface="Arial" pitchFamily="34" charset="0"/>
                                    <a:buChar char="•"/>
                                  </a:pPr>
                                  <a:endParaRPr lang="en-US" dirty="0" smtClean="0"/>
                                </a:p>
                                <a:p>
                                  <a:pPr>
                                    <a:buFont typeface="Arial" pitchFamily="34" charset="0"/>
                                    <a:buChar char="•"/>
                                  </a:pPr>
                                  <a:r>
                                    <a:rPr lang="en-US" dirty="0" smtClean="0"/>
                                    <a:t>Evaluation/</a:t>
                                  </a:r>
                                  <a:r>
                                    <a:rPr lang="en-US" dirty="0" err="1" smtClean="0"/>
                                    <a:t>Rec</a:t>
                                  </a:r>
                                  <a:endParaRPr lang="en-US" dirty="0" smtClean="0"/>
                                </a:p>
                                <a:p>
                                  <a:pPr>
                                    <a:buFont typeface="Arial" pitchFamily="34" charset="0"/>
                                    <a:buChar char="•"/>
                                  </a:pPr>
                                  <a:endParaRPr lang="en-US" dirty="0" smtClean="0"/>
                                </a:p>
                                <a:p>
                                  <a:pPr>
                                    <a:buFont typeface="Arial" pitchFamily="34" charset="0"/>
                                    <a:buChar char="•"/>
                                  </a:pPr>
                                  <a:r>
                                    <a:rPr lang="en-US" dirty="0" smtClean="0"/>
                                    <a:t>Independent </a:t>
                                  </a:r>
                                </a:p>
                                <a:p>
                                  <a:r>
                                    <a:rPr lang="en-US" dirty="0" smtClean="0"/>
                                    <a:t>External Audit</a:t>
                                  </a:r>
                                </a:p>
                                <a:p>
                                  <a:endParaRPr lang="en-US" dirty="0" smtClean="0"/>
                                </a:p>
                                <a:p>
                                  <a:pPr>
                                    <a:buFont typeface="Arial" pitchFamily="34" charset="0"/>
                                    <a:buChar char="•"/>
                                  </a:pPr>
                                  <a:r>
                                    <a:rPr lang="en-US" dirty="0" smtClean="0"/>
                                    <a:t>Other LAE</a:t>
                                  </a:r>
                                  <a:endParaRPr lang="en-US" dirty="0"/>
                                </a:p>
                              </a:txBody>
                              <a:useSpRect/>
                            </a:txSp>
                          </a:sp>
                          <a:sp>
                            <a:nvSpPr>
                              <a:cNvPr id="34" name="TextBox 33"/>
                              <a:cNvSpPr txBox="1"/>
                            </a:nvSpPr>
                            <a:spPr>
                              <a:xfrm>
                                <a:off x="4114800" y="4422338"/>
                                <a:ext cx="1219200" cy="461665"/>
                              </a:xfrm>
                              <a:prstGeom prst="rect">
                                <a:avLst/>
                              </a:prstGeom>
                              <a:noFill/>
                            </a:spPr>
                            <a:txSp>
                              <a:txBody>
                                <a:bodyPr wrap="square" rtlCol="0">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pPr algn="ctr"/>
                                  <a:r>
                                    <a:rPr lang="en-US" dirty="0" smtClean="0"/>
                                    <a:t>Management Board</a:t>
                                  </a:r>
                                  <a:endParaRPr lang="en-US" dirty="0"/>
                                </a:p>
                              </a:txBody>
                              <a:useSpRect/>
                            </a:txSp>
                          </a:sp>
                          <a:sp>
                            <a:nvSpPr>
                              <a:cNvPr id="35" name="TextBox 34"/>
                              <a:cNvSpPr txBox="1"/>
                            </a:nvSpPr>
                            <a:spPr>
                              <a:xfrm>
                                <a:off x="5486400" y="4350603"/>
                                <a:ext cx="1219200" cy="461665"/>
                              </a:xfrm>
                              <a:prstGeom prst="rect">
                                <a:avLst/>
                              </a:prstGeom>
                              <a:noFill/>
                            </a:spPr>
                            <a:txSp>
                              <a:txBody>
                                <a:bodyPr wrap="square" rtlCol="0">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pPr algn="ctr"/>
                                  <a:r>
                                    <a:rPr lang="en-US" dirty="0" smtClean="0"/>
                                    <a:t>CBP</a:t>
                                  </a:r>
                                </a:p>
                                <a:p>
                                  <a:pPr algn="ctr"/>
                                  <a:r>
                                    <a:rPr lang="en-US" dirty="0" smtClean="0"/>
                                    <a:t>EPA</a:t>
                                  </a:r>
                                  <a:endParaRPr lang="en-US" dirty="0"/>
                                </a:p>
                              </a:txBody>
                              <a:useSpRect/>
                            </a:txSp>
                          </a:sp>
                          <a:sp>
                            <a:nvSpPr>
                              <a:cNvPr id="36" name="TextBox 35"/>
                              <a:cNvSpPr txBox="1"/>
                            </a:nvSpPr>
                            <a:spPr>
                              <a:xfrm>
                                <a:off x="3733800" y="4530804"/>
                                <a:ext cx="381000" cy="276999"/>
                              </a:xfrm>
                              <a:prstGeom prst="rect">
                                <a:avLst/>
                              </a:prstGeom>
                              <a:noFill/>
                            </a:spPr>
                            <a:txSp>
                              <a:txBody>
                                <a:bodyPr wrap="square" rtlCol="0">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r>
                                    <a:rPr lang="en-US" dirty="0" smtClean="0">
                                      <a:sym typeface="Wingdings" pitchFamily="2" charset="2"/>
                                    </a:rPr>
                                    <a:t> </a:t>
                                  </a:r>
                                  <a:endParaRPr lang="en-US" dirty="0"/>
                                </a:p>
                              </a:txBody>
                              <a:useSpRect/>
                            </a:txSp>
                          </a:sp>
                          <a:sp>
                            <a:nvSpPr>
                              <a:cNvPr id="37" name="TextBox 36"/>
                              <a:cNvSpPr txBox="1"/>
                            </a:nvSpPr>
                            <a:spPr>
                              <a:xfrm>
                                <a:off x="5257800" y="4530804"/>
                                <a:ext cx="381000" cy="276999"/>
                              </a:xfrm>
                              <a:prstGeom prst="rect">
                                <a:avLst/>
                              </a:prstGeom>
                              <a:noFill/>
                            </a:spPr>
                            <a:txSp>
                              <a:txBody>
                                <a:bodyPr wrap="square" rtlCol="0">
                                  <a:spAutoFit/>
                                </a:bodyPr>
                                <a:lstStyle>
                                  <a:defPPr>
                                    <a:defRPr lang="en-US"/>
                                  </a:defPPr>
                                  <a:lvl1pPr algn="l" rtl="0" fontAlgn="base">
                                    <a:spcBef>
                                      <a:spcPct val="0"/>
                                    </a:spcBef>
                                    <a:spcAft>
                                      <a:spcPct val="0"/>
                                    </a:spcAft>
                                    <a:defRPr sz="1200" b="1" kern="1200">
                                      <a:solidFill>
                                        <a:schemeClr val="tx1"/>
                                      </a:solidFill>
                                      <a:latin typeface="Arial" charset="0"/>
                                      <a:ea typeface="+mn-ea"/>
                                      <a:cs typeface="+mn-cs"/>
                                    </a:defRPr>
                                  </a:lvl1pPr>
                                  <a:lvl2pPr marL="457200" algn="l" rtl="0" fontAlgn="base">
                                    <a:spcBef>
                                      <a:spcPct val="0"/>
                                    </a:spcBef>
                                    <a:spcAft>
                                      <a:spcPct val="0"/>
                                    </a:spcAft>
                                    <a:defRPr sz="1200" b="1" kern="1200">
                                      <a:solidFill>
                                        <a:schemeClr val="tx1"/>
                                      </a:solidFill>
                                      <a:latin typeface="Arial" charset="0"/>
                                      <a:ea typeface="+mn-ea"/>
                                      <a:cs typeface="+mn-cs"/>
                                    </a:defRPr>
                                  </a:lvl2pPr>
                                  <a:lvl3pPr marL="914400" algn="l" rtl="0" fontAlgn="base">
                                    <a:spcBef>
                                      <a:spcPct val="0"/>
                                    </a:spcBef>
                                    <a:spcAft>
                                      <a:spcPct val="0"/>
                                    </a:spcAft>
                                    <a:defRPr sz="1200" b="1" kern="1200">
                                      <a:solidFill>
                                        <a:schemeClr val="tx1"/>
                                      </a:solidFill>
                                      <a:latin typeface="Arial" charset="0"/>
                                      <a:ea typeface="+mn-ea"/>
                                      <a:cs typeface="+mn-cs"/>
                                    </a:defRPr>
                                  </a:lvl3pPr>
                                  <a:lvl4pPr marL="1371600" algn="l" rtl="0" fontAlgn="base">
                                    <a:spcBef>
                                      <a:spcPct val="0"/>
                                    </a:spcBef>
                                    <a:spcAft>
                                      <a:spcPct val="0"/>
                                    </a:spcAft>
                                    <a:defRPr sz="1200" b="1" kern="1200">
                                      <a:solidFill>
                                        <a:schemeClr val="tx1"/>
                                      </a:solidFill>
                                      <a:latin typeface="Arial" charset="0"/>
                                      <a:ea typeface="+mn-ea"/>
                                      <a:cs typeface="+mn-cs"/>
                                    </a:defRPr>
                                  </a:lvl4pPr>
                                  <a:lvl5pPr marL="1828800" algn="l" rtl="0" fontAlgn="base">
                                    <a:spcBef>
                                      <a:spcPct val="0"/>
                                    </a:spcBef>
                                    <a:spcAft>
                                      <a:spcPct val="0"/>
                                    </a:spcAft>
                                    <a:defRPr sz="1200" b="1" kern="1200">
                                      <a:solidFill>
                                        <a:schemeClr val="tx1"/>
                                      </a:solidFill>
                                      <a:latin typeface="Arial" charset="0"/>
                                      <a:ea typeface="+mn-ea"/>
                                      <a:cs typeface="+mn-cs"/>
                                    </a:defRPr>
                                  </a:lvl5pPr>
                                  <a:lvl6pPr marL="2286000" algn="l" defTabSz="914400" rtl="0" eaLnBrk="1" latinLnBrk="0" hangingPunct="1">
                                    <a:defRPr sz="1200" b="1" kern="1200">
                                      <a:solidFill>
                                        <a:schemeClr val="tx1"/>
                                      </a:solidFill>
                                      <a:latin typeface="Arial" charset="0"/>
                                      <a:ea typeface="+mn-ea"/>
                                      <a:cs typeface="+mn-cs"/>
                                    </a:defRPr>
                                  </a:lvl6pPr>
                                  <a:lvl7pPr marL="2743200" algn="l" defTabSz="914400" rtl="0" eaLnBrk="1" latinLnBrk="0" hangingPunct="1">
                                    <a:defRPr sz="1200" b="1" kern="1200">
                                      <a:solidFill>
                                        <a:schemeClr val="tx1"/>
                                      </a:solidFill>
                                      <a:latin typeface="Arial" charset="0"/>
                                      <a:ea typeface="+mn-ea"/>
                                      <a:cs typeface="+mn-cs"/>
                                    </a:defRPr>
                                  </a:lvl7pPr>
                                  <a:lvl8pPr marL="3200400" algn="l" defTabSz="914400" rtl="0" eaLnBrk="1" latinLnBrk="0" hangingPunct="1">
                                    <a:defRPr sz="1200" b="1" kern="1200">
                                      <a:solidFill>
                                        <a:schemeClr val="tx1"/>
                                      </a:solidFill>
                                      <a:latin typeface="Arial" charset="0"/>
                                      <a:ea typeface="+mn-ea"/>
                                      <a:cs typeface="+mn-cs"/>
                                    </a:defRPr>
                                  </a:lvl8pPr>
                                  <a:lvl9pPr marL="3657600" algn="l" defTabSz="914400" rtl="0" eaLnBrk="1" latinLnBrk="0" hangingPunct="1">
                                    <a:defRPr sz="1200" b="1" kern="1200">
                                      <a:solidFill>
                                        <a:schemeClr val="tx1"/>
                                      </a:solidFill>
                                      <a:latin typeface="Arial" charset="0"/>
                                      <a:ea typeface="+mn-ea"/>
                                      <a:cs typeface="+mn-cs"/>
                                    </a:defRPr>
                                  </a:lvl9pPr>
                                </a:lstStyle>
                                <a:p>
                                  <a:r>
                                    <a:rPr lang="en-US" dirty="0" smtClean="0">
                                      <a:sym typeface="Wingdings" pitchFamily="2" charset="2"/>
                                    </a:rPr>
                                    <a:t> </a:t>
                                  </a:r>
                                  <a:endParaRPr lang="en-US" dirty="0"/>
                                </a:p>
                              </a:txBody>
                              <a:useSpRect/>
                            </a:txSp>
                          </a:sp>
                        </a:grpSp>
                      </lc:lockedCanvas>
                    </a:graphicData>
                  </a:graphic>
                </wp:inline>
              </w:drawing>
            </w:r>
          </w:p>
        </w:tc>
      </w:tr>
      <w:tr w:rsidR="00BA1925" w:rsidRPr="00920966" w:rsidTr="00B97976">
        <w:tc>
          <w:tcPr>
            <w:tcW w:w="9108" w:type="dxa"/>
            <w:gridSpan w:val="3"/>
          </w:tcPr>
          <w:p w:rsidR="00BA1925" w:rsidRPr="00313CF2" w:rsidRDefault="00BA1925" w:rsidP="00BE00B3">
            <w:pPr>
              <w:rPr>
                <w:rFonts w:ascii="Times New Roman" w:hAnsi="Times New Roman" w:cs="Times New Roman"/>
                <w:noProof/>
                <w:u w:val="single"/>
              </w:rPr>
            </w:pPr>
          </w:p>
        </w:tc>
      </w:tr>
      <w:tr w:rsidR="00BE00B3" w:rsidRPr="00920966" w:rsidTr="00BE00B3">
        <w:tc>
          <w:tcPr>
            <w:tcW w:w="9108" w:type="dxa"/>
            <w:gridSpan w:val="3"/>
            <w:shd w:val="clear" w:color="auto" w:fill="F2F2F2" w:themeFill="background1" w:themeFillShade="F2"/>
          </w:tcPr>
          <w:p w:rsidR="00BE00B3" w:rsidRPr="00920966" w:rsidRDefault="00BE00B3" w:rsidP="00BE00B3">
            <w:pPr>
              <w:rPr>
                <w:rFonts w:ascii="Times New Roman" w:hAnsi="Times New Roman" w:cs="Times New Roman"/>
                <w:b/>
                <w:color w:val="365F91" w:themeColor="accent1" w:themeShade="BF"/>
              </w:rPr>
            </w:pPr>
          </w:p>
          <w:p w:rsidR="00BE00B3" w:rsidRPr="00920966" w:rsidRDefault="00BE00B3" w:rsidP="00DC1CAC">
            <w:pPr>
              <w:rPr>
                <w:rFonts w:ascii="Times New Roman" w:hAnsi="Times New Roman" w:cs="Times New Roman"/>
                <w:u w:val="single"/>
              </w:rPr>
            </w:pPr>
            <w:r w:rsidRPr="00920966">
              <w:rPr>
                <w:rFonts w:ascii="Times New Roman" w:hAnsi="Times New Roman" w:cs="Times New Roman"/>
                <w:b/>
                <w:color w:val="365F91" w:themeColor="accent1" w:themeShade="BF"/>
              </w:rPr>
              <w:t>Protocols for</w:t>
            </w:r>
            <w:r w:rsidR="00552168" w:rsidRPr="00920966">
              <w:rPr>
                <w:rFonts w:ascii="Times New Roman" w:hAnsi="Times New Roman" w:cs="Times New Roman"/>
                <w:b/>
                <w:color w:val="365F91" w:themeColor="accent1" w:themeShade="BF"/>
              </w:rPr>
              <w:t xml:space="preserve"> Decision Making and V</w:t>
            </w:r>
            <w:r w:rsidRPr="00920966">
              <w:rPr>
                <w:rFonts w:ascii="Times New Roman" w:hAnsi="Times New Roman" w:cs="Times New Roman"/>
                <w:b/>
                <w:color w:val="365F91" w:themeColor="accent1" w:themeShade="BF"/>
              </w:rPr>
              <w:t xml:space="preserve">oting </w:t>
            </w:r>
            <w:r w:rsidR="00DC1CAC">
              <w:rPr>
                <w:rFonts w:ascii="Times New Roman" w:hAnsi="Times New Roman" w:cs="Times New Roman"/>
                <w:b/>
                <w:color w:val="365F91" w:themeColor="accent1" w:themeShade="BF"/>
              </w:rPr>
              <w:t>R</w:t>
            </w:r>
            <w:r w:rsidRPr="00920966">
              <w:rPr>
                <w:rFonts w:ascii="Times New Roman" w:hAnsi="Times New Roman" w:cs="Times New Roman"/>
                <w:b/>
                <w:color w:val="365F91" w:themeColor="accent1" w:themeShade="BF"/>
              </w:rPr>
              <w:t>esponsibilities</w:t>
            </w:r>
          </w:p>
        </w:tc>
      </w:tr>
      <w:tr w:rsidR="00DC1CAC" w:rsidRPr="00920966" w:rsidTr="00CE6CDE">
        <w:tc>
          <w:tcPr>
            <w:tcW w:w="9108" w:type="dxa"/>
            <w:gridSpan w:val="3"/>
            <w:shd w:val="clear" w:color="auto" w:fill="F2F2F2" w:themeFill="background1" w:themeFillShade="F2"/>
          </w:tcPr>
          <w:p w:rsidR="00DC1CAC" w:rsidRPr="008924F3" w:rsidRDefault="00DC1CAC" w:rsidP="00DC1CAC">
            <w:pPr>
              <w:spacing w:line="240" w:lineRule="auto"/>
              <w:rPr>
                <w:rFonts w:ascii="Times New Roman" w:hAnsi="Times New Roman" w:cs="Times New Roman"/>
                <w:bCs/>
              </w:rPr>
            </w:pPr>
            <w:r w:rsidRPr="008924F3">
              <w:rPr>
                <w:rFonts w:ascii="Times New Roman" w:hAnsi="Times New Roman" w:cs="Times New Roman"/>
              </w:rPr>
              <w:t xml:space="preserve">Workgroup looked at governance changes that would enhance clarity of decision making expectations and procedures at the different levels of the program. </w:t>
            </w:r>
            <w:r w:rsidRPr="008924F3">
              <w:rPr>
                <w:rFonts w:ascii="Times New Roman" w:hAnsi="Times New Roman" w:cs="Times New Roman"/>
                <w:bCs/>
              </w:rPr>
              <w:t xml:space="preserve"> Effective use of delegations in the management structure/hierarchy (i.e., to ensure that voting is fair and is based on one-entity-one-vote.</w:t>
            </w:r>
          </w:p>
          <w:p w:rsidR="00DC1CAC" w:rsidRPr="008924F3" w:rsidRDefault="00DC1CAC" w:rsidP="00DC1CAC">
            <w:pPr>
              <w:spacing w:line="240" w:lineRule="auto"/>
              <w:rPr>
                <w:rFonts w:ascii="Times New Roman" w:hAnsi="Times New Roman" w:cs="Times New Roman"/>
              </w:rPr>
            </w:pPr>
          </w:p>
          <w:p w:rsidR="00DC1CAC" w:rsidRDefault="00DC1CAC" w:rsidP="00BE00B3">
            <w:pPr>
              <w:rPr>
                <w:rFonts w:ascii="Times New Roman" w:hAnsi="Times New Roman" w:cs="Times New Roman"/>
              </w:rPr>
            </w:pPr>
            <w:r w:rsidRPr="008924F3">
              <w:rPr>
                <w:rFonts w:ascii="Times New Roman" w:hAnsi="Times New Roman" w:cs="Times New Roman"/>
                <w:u w:val="single"/>
              </w:rPr>
              <w:t>Current problems/considerations</w:t>
            </w:r>
            <w:r w:rsidRPr="008924F3">
              <w:rPr>
                <w:rFonts w:ascii="Times New Roman" w:hAnsi="Times New Roman" w:cs="Times New Roman"/>
              </w:rPr>
              <w:t xml:space="preserve">:   Lack of clarity about who gets to vote on issues?  Only signatory members? All jurisdictions? All Federal agencies? GIT Chairs? NGO partners? </w:t>
            </w:r>
            <w:r w:rsidR="00A35380" w:rsidRPr="008924F3">
              <w:rPr>
                <w:rFonts w:ascii="Times New Roman" w:hAnsi="Times New Roman" w:cs="Times New Roman"/>
              </w:rPr>
              <w:t xml:space="preserve">How should FLC be represented? </w:t>
            </w:r>
          </w:p>
          <w:p w:rsidR="008924F3" w:rsidRPr="008924F3" w:rsidRDefault="008924F3" w:rsidP="00BE00B3">
            <w:pPr>
              <w:rPr>
                <w:rFonts w:ascii="Times New Roman" w:hAnsi="Times New Roman" w:cs="Times New Roman"/>
              </w:rPr>
            </w:pPr>
          </w:p>
          <w:p w:rsidR="00DC1CAC" w:rsidRPr="008924F3" w:rsidRDefault="00A35380" w:rsidP="00A35380">
            <w:pPr>
              <w:rPr>
                <w:rFonts w:ascii="Times New Roman" w:hAnsi="Times New Roman" w:cs="Times New Roman"/>
              </w:rPr>
            </w:pPr>
            <w:r w:rsidRPr="008924F3">
              <w:rPr>
                <w:rFonts w:ascii="Times New Roman" w:hAnsi="Times New Roman" w:cs="Times New Roman"/>
                <w:u w:val="single"/>
              </w:rPr>
              <w:t>Solution should</w:t>
            </w:r>
            <w:r w:rsidRPr="008924F3">
              <w:rPr>
                <w:rFonts w:ascii="Times New Roman" w:hAnsi="Times New Roman" w:cs="Times New Roman"/>
              </w:rPr>
              <w:t>:  identify clear voting rules (i.e. does majority rule</w:t>
            </w:r>
            <w:r w:rsidR="00DC1CAC" w:rsidRPr="008924F3">
              <w:rPr>
                <w:rFonts w:ascii="Times New Roman" w:hAnsi="Times New Roman" w:cs="Times New Roman"/>
              </w:rPr>
              <w:t xml:space="preserve">? Must </w:t>
            </w:r>
            <w:r w:rsidRPr="008924F3">
              <w:rPr>
                <w:rFonts w:ascii="Times New Roman" w:hAnsi="Times New Roman" w:cs="Times New Roman"/>
              </w:rPr>
              <w:t xml:space="preserve">the group </w:t>
            </w:r>
            <w:r w:rsidR="00DC1CAC" w:rsidRPr="008924F3">
              <w:rPr>
                <w:rFonts w:ascii="Times New Roman" w:hAnsi="Times New Roman" w:cs="Times New Roman"/>
              </w:rPr>
              <w:t>reach consensus? Dissenting members record their objections? Tie breakers? Rules for conflict resolution.</w:t>
            </w:r>
            <w:r w:rsidRPr="008924F3">
              <w:rPr>
                <w:rFonts w:ascii="Times New Roman" w:hAnsi="Times New Roman" w:cs="Times New Roman"/>
              </w:rPr>
              <w:t>)</w:t>
            </w:r>
            <w:r w:rsidR="00DC1CAC" w:rsidRPr="008924F3">
              <w:rPr>
                <w:rFonts w:ascii="Times New Roman" w:hAnsi="Times New Roman" w:cs="Times New Roman"/>
              </w:rPr>
              <w:t xml:space="preserve"> </w:t>
            </w:r>
          </w:p>
          <w:p w:rsidR="00A35380" w:rsidRPr="00920966" w:rsidRDefault="00A35380" w:rsidP="00A35380">
            <w:pPr>
              <w:rPr>
                <w:rFonts w:ascii="Times New Roman" w:hAnsi="Times New Roman" w:cs="Times New Roman"/>
                <w:u w:val="single"/>
              </w:rPr>
            </w:pPr>
          </w:p>
        </w:tc>
      </w:tr>
      <w:tr w:rsidR="00BE00B3" w:rsidRPr="00920966" w:rsidTr="00C415B2">
        <w:tc>
          <w:tcPr>
            <w:tcW w:w="1672" w:type="dxa"/>
            <w:shd w:val="clear" w:color="auto" w:fill="F2F2F2" w:themeFill="background1" w:themeFillShade="F2"/>
          </w:tcPr>
          <w:p w:rsidR="00BE00B3" w:rsidRPr="00920966" w:rsidRDefault="0024782F" w:rsidP="00BE00B3">
            <w:pPr>
              <w:rPr>
                <w:rFonts w:ascii="Times New Roman" w:hAnsi="Times New Roman" w:cs="Times New Roman"/>
                <w:u w:val="single"/>
              </w:rPr>
            </w:pPr>
            <w:r>
              <w:rPr>
                <w:rFonts w:ascii="Times New Roman" w:hAnsi="Times New Roman" w:cs="Times New Roman"/>
                <w:u w:val="single"/>
              </w:rPr>
              <w:t>Notes:</w:t>
            </w:r>
          </w:p>
        </w:tc>
        <w:tc>
          <w:tcPr>
            <w:tcW w:w="7436" w:type="dxa"/>
            <w:gridSpan w:val="2"/>
            <w:shd w:val="clear" w:color="auto" w:fill="F2F2F2" w:themeFill="background1" w:themeFillShade="F2"/>
          </w:tcPr>
          <w:p w:rsidR="001A6285" w:rsidRPr="00224D02" w:rsidRDefault="00A35380" w:rsidP="00A35380">
            <w:pPr>
              <w:rPr>
                <w:rFonts w:ascii="Times New Roman" w:hAnsi="Times New Roman" w:cs="Times New Roman"/>
                <w:u w:val="single"/>
              </w:rPr>
            </w:pPr>
            <w:r w:rsidRPr="00224D02">
              <w:rPr>
                <w:rFonts w:ascii="Times New Roman" w:hAnsi="Times New Roman" w:cs="Times New Roman"/>
                <w:u w:val="single"/>
              </w:rPr>
              <w:t>Options for MB/PSC/EC Decision Making (when consensus cannot be reached)</w:t>
            </w:r>
          </w:p>
          <w:p w:rsidR="001A6285" w:rsidRPr="00920966" w:rsidRDefault="001A6285" w:rsidP="001A6285">
            <w:pPr>
              <w:rPr>
                <w:rFonts w:ascii="Times New Roman" w:hAnsi="Times New Roman" w:cs="Times New Roman"/>
                <w:i/>
              </w:rPr>
            </w:pPr>
          </w:p>
          <w:p w:rsidR="001A6285" w:rsidRPr="00920966" w:rsidRDefault="001A6285" w:rsidP="00224D02">
            <w:pPr>
              <w:pStyle w:val="ListParagraph"/>
              <w:numPr>
                <w:ilvl w:val="0"/>
                <w:numId w:val="10"/>
              </w:numPr>
              <w:ind w:left="360"/>
              <w:rPr>
                <w:sz w:val="22"/>
                <w:szCs w:val="22"/>
              </w:rPr>
            </w:pPr>
            <w:r w:rsidRPr="00920966">
              <w:rPr>
                <w:sz w:val="22"/>
                <w:szCs w:val="22"/>
              </w:rPr>
              <w:t xml:space="preserve">Option 1 (mandatory involvement) </w:t>
            </w:r>
          </w:p>
          <w:p w:rsidR="001A6285" w:rsidRPr="00920966" w:rsidRDefault="001A6285" w:rsidP="00224D02">
            <w:pPr>
              <w:pStyle w:val="ListParagraph"/>
              <w:numPr>
                <w:ilvl w:val="1"/>
                <w:numId w:val="11"/>
              </w:numPr>
              <w:ind w:left="1080"/>
              <w:rPr>
                <w:i/>
                <w:sz w:val="22"/>
                <w:szCs w:val="22"/>
              </w:rPr>
            </w:pPr>
            <w:r w:rsidRPr="00920966">
              <w:rPr>
                <w:i/>
                <w:sz w:val="22"/>
                <w:szCs w:val="22"/>
              </w:rPr>
              <w:t>Pro – ensures the greatest possible involvement toward all Chesapeake Bay restoration goals and outcomes</w:t>
            </w:r>
          </w:p>
          <w:p w:rsidR="001A6285" w:rsidRPr="00920966" w:rsidRDefault="001A6285" w:rsidP="00224D02">
            <w:pPr>
              <w:pStyle w:val="ListParagraph"/>
              <w:numPr>
                <w:ilvl w:val="1"/>
                <w:numId w:val="11"/>
              </w:numPr>
              <w:ind w:left="1080"/>
              <w:rPr>
                <w:i/>
                <w:sz w:val="22"/>
                <w:szCs w:val="22"/>
              </w:rPr>
            </w:pPr>
            <w:r w:rsidRPr="00920966">
              <w:rPr>
                <w:i/>
                <w:sz w:val="22"/>
                <w:szCs w:val="22"/>
              </w:rPr>
              <w:t>Con – No jurisdictional flexibility, may strain budgets and resources, doesn’t encourage consensus</w:t>
            </w:r>
          </w:p>
          <w:p w:rsidR="001A6285" w:rsidRPr="00920966" w:rsidRDefault="001A6285" w:rsidP="00224D02">
            <w:pPr>
              <w:rPr>
                <w:rFonts w:ascii="Times New Roman" w:hAnsi="Times New Roman" w:cs="Times New Roman"/>
              </w:rPr>
            </w:pPr>
          </w:p>
          <w:p w:rsidR="001A6285" w:rsidRPr="00920966" w:rsidRDefault="001A6285" w:rsidP="00224D02">
            <w:pPr>
              <w:pStyle w:val="ListParagraph"/>
              <w:numPr>
                <w:ilvl w:val="0"/>
                <w:numId w:val="10"/>
              </w:numPr>
              <w:ind w:left="360"/>
              <w:rPr>
                <w:sz w:val="22"/>
                <w:szCs w:val="22"/>
              </w:rPr>
            </w:pPr>
            <w:r w:rsidRPr="00920966">
              <w:rPr>
                <w:sz w:val="22"/>
                <w:szCs w:val="22"/>
              </w:rPr>
              <w:t>Option 2 (menu style approach towards goal involvement)</w:t>
            </w:r>
          </w:p>
          <w:p w:rsidR="001A6285" w:rsidRPr="00920966" w:rsidRDefault="001A6285" w:rsidP="00224D02">
            <w:pPr>
              <w:pStyle w:val="ListParagraph"/>
              <w:numPr>
                <w:ilvl w:val="1"/>
                <w:numId w:val="11"/>
              </w:numPr>
              <w:ind w:left="1080"/>
              <w:rPr>
                <w:i/>
                <w:sz w:val="22"/>
                <w:szCs w:val="22"/>
              </w:rPr>
            </w:pPr>
            <w:r w:rsidRPr="00920966">
              <w:rPr>
                <w:i/>
                <w:sz w:val="22"/>
                <w:szCs w:val="22"/>
              </w:rPr>
              <w:t>Pro – Allows partners and stakeholders to sign on to the goals and outcomes they are interested in. Doesn’t bog down jurisdictions with extra monitoring.</w:t>
            </w:r>
          </w:p>
          <w:p w:rsidR="001A6285" w:rsidRPr="00920966" w:rsidRDefault="001A6285" w:rsidP="00224D02">
            <w:pPr>
              <w:pStyle w:val="ListParagraph"/>
              <w:numPr>
                <w:ilvl w:val="1"/>
                <w:numId w:val="11"/>
              </w:numPr>
              <w:ind w:left="1080"/>
              <w:rPr>
                <w:i/>
                <w:sz w:val="22"/>
                <w:szCs w:val="22"/>
              </w:rPr>
            </w:pPr>
            <w:r w:rsidRPr="00920966">
              <w:rPr>
                <w:i/>
                <w:sz w:val="22"/>
                <w:szCs w:val="22"/>
              </w:rPr>
              <w:t>Con – May weaken bay restoration effort, may be too heavily impacted by ever changing political forces</w:t>
            </w:r>
          </w:p>
          <w:p w:rsidR="001A6285" w:rsidRPr="00920966" w:rsidRDefault="001A6285" w:rsidP="00224D02">
            <w:pPr>
              <w:rPr>
                <w:rFonts w:ascii="Times New Roman" w:hAnsi="Times New Roman" w:cs="Times New Roman"/>
              </w:rPr>
            </w:pPr>
          </w:p>
          <w:p w:rsidR="001A6285" w:rsidRPr="00920966" w:rsidRDefault="001A6285" w:rsidP="00224D02">
            <w:pPr>
              <w:pStyle w:val="ListParagraph"/>
              <w:numPr>
                <w:ilvl w:val="0"/>
                <w:numId w:val="10"/>
              </w:numPr>
              <w:ind w:left="360"/>
              <w:rPr>
                <w:sz w:val="22"/>
                <w:szCs w:val="22"/>
              </w:rPr>
            </w:pPr>
            <w:r w:rsidRPr="00920966">
              <w:rPr>
                <w:sz w:val="22"/>
                <w:szCs w:val="22"/>
              </w:rPr>
              <w:t>Option 3 (champion approach)</w:t>
            </w:r>
          </w:p>
          <w:p w:rsidR="001A6285" w:rsidRPr="00920966" w:rsidRDefault="001A6285" w:rsidP="00224D02">
            <w:pPr>
              <w:pStyle w:val="ListParagraph"/>
              <w:numPr>
                <w:ilvl w:val="1"/>
                <w:numId w:val="11"/>
              </w:numPr>
              <w:ind w:left="1080"/>
              <w:rPr>
                <w:i/>
                <w:sz w:val="22"/>
                <w:szCs w:val="22"/>
              </w:rPr>
            </w:pPr>
            <w:r w:rsidRPr="00920966">
              <w:rPr>
                <w:i/>
                <w:sz w:val="22"/>
                <w:szCs w:val="22"/>
              </w:rPr>
              <w:t>Pro – Allows partners and stakeholders to put an emphasis on the goals and outcomes most important to them. Allows jurisdictions to monitor effectively, without imposing extra monitoring. Allows other jurisdictions to sign on at a later date.</w:t>
            </w:r>
          </w:p>
          <w:p w:rsidR="001A6285" w:rsidRPr="00920966" w:rsidRDefault="001A6285" w:rsidP="00224D02">
            <w:pPr>
              <w:pStyle w:val="ListParagraph"/>
              <w:numPr>
                <w:ilvl w:val="1"/>
                <w:numId w:val="11"/>
              </w:numPr>
              <w:ind w:left="1080"/>
              <w:rPr>
                <w:i/>
                <w:sz w:val="22"/>
                <w:szCs w:val="22"/>
              </w:rPr>
            </w:pPr>
            <w:r w:rsidRPr="00920966">
              <w:rPr>
                <w:i/>
                <w:sz w:val="22"/>
                <w:szCs w:val="22"/>
              </w:rPr>
              <w:t>Con – May we</w:t>
            </w:r>
            <w:bookmarkStart w:id="0" w:name="_GoBack"/>
            <w:bookmarkEnd w:id="0"/>
            <w:r w:rsidRPr="00920966">
              <w:rPr>
                <w:i/>
                <w:sz w:val="22"/>
                <w:szCs w:val="22"/>
              </w:rPr>
              <w:t>aken bay restoration effort, may be too heavily impacted by ever changing political forces</w:t>
            </w:r>
          </w:p>
          <w:p w:rsidR="00BE00B3" w:rsidRPr="00920966" w:rsidRDefault="00BE00B3" w:rsidP="00BE00B3">
            <w:pPr>
              <w:rPr>
                <w:rFonts w:ascii="Times New Roman" w:hAnsi="Times New Roman" w:cs="Times New Roman"/>
                <w:u w:val="single"/>
              </w:rPr>
            </w:pPr>
          </w:p>
        </w:tc>
      </w:tr>
      <w:tr w:rsidR="00BE00B3" w:rsidRPr="00920966" w:rsidTr="00C415B2">
        <w:tc>
          <w:tcPr>
            <w:tcW w:w="1672" w:type="dxa"/>
            <w:shd w:val="clear" w:color="auto" w:fill="F2F2F2" w:themeFill="background1" w:themeFillShade="F2"/>
          </w:tcPr>
          <w:p w:rsidR="00BE00B3" w:rsidRPr="00920966" w:rsidRDefault="0024782F" w:rsidP="00BE00B3">
            <w:pPr>
              <w:rPr>
                <w:rFonts w:ascii="Times New Roman" w:hAnsi="Times New Roman" w:cs="Times New Roman"/>
                <w:u w:val="single"/>
              </w:rPr>
            </w:pPr>
            <w:r>
              <w:rPr>
                <w:rFonts w:ascii="Times New Roman" w:hAnsi="Times New Roman" w:cs="Times New Roman"/>
                <w:u w:val="single"/>
              </w:rPr>
              <w:lastRenderedPageBreak/>
              <w:t>Notes:</w:t>
            </w:r>
          </w:p>
        </w:tc>
        <w:tc>
          <w:tcPr>
            <w:tcW w:w="7436" w:type="dxa"/>
            <w:gridSpan w:val="2"/>
            <w:shd w:val="clear" w:color="auto" w:fill="F2F2F2" w:themeFill="background1" w:themeFillShade="F2"/>
          </w:tcPr>
          <w:p w:rsidR="001A6285" w:rsidRPr="00A35380" w:rsidRDefault="00A35380" w:rsidP="00A35380">
            <w:pPr>
              <w:rPr>
                <w:u w:val="single"/>
              </w:rPr>
            </w:pPr>
            <w:r w:rsidRPr="00A35380">
              <w:rPr>
                <w:u w:val="single"/>
              </w:rPr>
              <w:t xml:space="preserve">Options for MB/PSC Voting Privileges </w:t>
            </w:r>
          </w:p>
          <w:p w:rsidR="001A6285" w:rsidRPr="00920966" w:rsidRDefault="001A6285" w:rsidP="001A6285">
            <w:pPr>
              <w:pStyle w:val="ListParagraph"/>
              <w:rPr>
                <w:sz w:val="22"/>
                <w:szCs w:val="22"/>
              </w:rPr>
            </w:pPr>
          </w:p>
          <w:p w:rsidR="001A6285" w:rsidRPr="00920966" w:rsidRDefault="001A6285" w:rsidP="00224D02">
            <w:pPr>
              <w:pStyle w:val="ListParagraph"/>
              <w:numPr>
                <w:ilvl w:val="0"/>
                <w:numId w:val="10"/>
              </w:numPr>
              <w:ind w:left="360"/>
              <w:rPr>
                <w:sz w:val="22"/>
                <w:szCs w:val="22"/>
              </w:rPr>
            </w:pPr>
            <w:r w:rsidRPr="00920966">
              <w:rPr>
                <w:sz w:val="22"/>
                <w:szCs w:val="22"/>
              </w:rPr>
              <w:t>Option 1 - The signatories only get 1 vote each. Those that didn’t sign on to the related goal do not get to vote.</w:t>
            </w:r>
          </w:p>
          <w:p w:rsidR="001A6285" w:rsidRPr="00920966" w:rsidRDefault="001A6285" w:rsidP="00224D02">
            <w:pPr>
              <w:rPr>
                <w:rFonts w:ascii="Times New Roman" w:hAnsi="Times New Roman" w:cs="Times New Roman"/>
              </w:rPr>
            </w:pPr>
          </w:p>
          <w:p w:rsidR="001A6285" w:rsidRPr="00920966" w:rsidRDefault="001A6285" w:rsidP="00224D02">
            <w:pPr>
              <w:pStyle w:val="ListParagraph"/>
              <w:numPr>
                <w:ilvl w:val="0"/>
                <w:numId w:val="10"/>
              </w:numPr>
              <w:ind w:left="360"/>
              <w:rPr>
                <w:sz w:val="22"/>
                <w:szCs w:val="22"/>
              </w:rPr>
            </w:pPr>
            <w:r w:rsidRPr="00920966">
              <w:rPr>
                <w:sz w:val="22"/>
                <w:szCs w:val="22"/>
              </w:rPr>
              <w:t>Option 2 - Delegation style vote (for program wide implications). 9 total votes, 1 vote per jurisdiction plus 1 vote for feds. (EPA will always be that vote and communication with others through the FOD)</w:t>
            </w:r>
          </w:p>
          <w:p w:rsidR="001A6285" w:rsidRPr="00920966" w:rsidRDefault="001A6285" w:rsidP="00224D02">
            <w:pPr>
              <w:rPr>
                <w:rFonts w:ascii="Times New Roman" w:hAnsi="Times New Roman" w:cs="Times New Roman"/>
              </w:rPr>
            </w:pPr>
          </w:p>
          <w:p w:rsidR="001A6285" w:rsidRPr="00920966" w:rsidRDefault="001A6285" w:rsidP="00224D02">
            <w:pPr>
              <w:pStyle w:val="ListParagraph"/>
              <w:numPr>
                <w:ilvl w:val="0"/>
                <w:numId w:val="10"/>
              </w:numPr>
              <w:ind w:left="360"/>
              <w:rPr>
                <w:sz w:val="22"/>
                <w:szCs w:val="22"/>
              </w:rPr>
            </w:pPr>
            <w:r w:rsidRPr="00920966">
              <w:rPr>
                <w:sz w:val="22"/>
                <w:szCs w:val="22"/>
              </w:rPr>
              <w:t>Option 3 - Delegation style vote (for program wide implications). 9 total votes, 1 vote per jurisdiction plus 1 vote for feds. The federal agency to place vote is the lead agency for the EO 13508 Strategy. EPA will defer to the other agencies as needed; communication through the FOD.</w:t>
            </w:r>
          </w:p>
          <w:p w:rsidR="00BE00B3" w:rsidRPr="00920966" w:rsidRDefault="00BE00B3" w:rsidP="00BE00B3">
            <w:pPr>
              <w:rPr>
                <w:rFonts w:ascii="Times New Roman" w:hAnsi="Times New Roman" w:cs="Times New Roman"/>
                <w:u w:val="single"/>
              </w:rPr>
            </w:pPr>
          </w:p>
        </w:tc>
      </w:tr>
      <w:tr w:rsidR="00BE00B3" w:rsidRPr="00920966" w:rsidTr="00C415B2">
        <w:tc>
          <w:tcPr>
            <w:tcW w:w="1672" w:type="dxa"/>
            <w:shd w:val="clear" w:color="auto" w:fill="F2F2F2" w:themeFill="background1" w:themeFillShade="F2"/>
          </w:tcPr>
          <w:p w:rsidR="00BE00B3" w:rsidRPr="00920966" w:rsidRDefault="00BE00B3" w:rsidP="00BE00B3">
            <w:pPr>
              <w:rPr>
                <w:rFonts w:ascii="Times New Roman" w:hAnsi="Times New Roman" w:cs="Times New Roman"/>
                <w:u w:val="single"/>
              </w:rPr>
            </w:pPr>
          </w:p>
        </w:tc>
        <w:tc>
          <w:tcPr>
            <w:tcW w:w="7436" w:type="dxa"/>
            <w:gridSpan w:val="2"/>
            <w:shd w:val="clear" w:color="auto" w:fill="F2F2F2" w:themeFill="background1" w:themeFillShade="F2"/>
          </w:tcPr>
          <w:p w:rsidR="00BE00B3" w:rsidRPr="00920966" w:rsidRDefault="00BE00B3" w:rsidP="00BE00B3">
            <w:pPr>
              <w:rPr>
                <w:rFonts w:ascii="Times New Roman" w:hAnsi="Times New Roman" w:cs="Times New Roman"/>
                <w:u w:val="single"/>
              </w:rPr>
            </w:pPr>
          </w:p>
        </w:tc>
      </w:tr>
      <w:tr w:rsidR="00BE00B3" w:rsidRPr="00920966" w:rsidTr="00E278C2">
        <w:tc>
          <w:tcPr>
            <w:tcW w:w="9108" w:type="dxa"/>
            <w:gridSpan w:val="3"/>
          </w:tcPr>
          <w:p w:rsidR="00BE00B3" w:rsidRPr="00920966" w:rsidRDefault="00BE00B3" w:rsidP="00BE00B3">
            <w:pPr>
              <w:rPr>
                <w:rFonts w:ascii="Times New Roman" w:hAnsi="Times New Roman" w:cs="Times New Roman"/>
                <w:b/>
                <w:color w:val="365F91" w:themeColor="accent1" w:themeShade="BF"/>
              </w:rPr>
            </w:pPr>
          </w:p>
          <w:p w:rsidR="00BE00B3" w:rsidRPr="00920966" w:rsidRDefault="00BE00B3" w:rsidP="00BE00B3">
            <w:pPr>
              <w:rPr>
                <w:rFonts w:ascii="Times New Roman" w:hAnsi="Times New Roman" w:cs="Times New Roman"/>
                <w:u w:val="single"/>
              </w:rPr>
            </w:pPr>
            <w:r w:rsidRPr="00920966">
              <w:rPr>
                <w:rFonts w:ascii="Times New Roman" w:hAnsi="Times New Roman" w:cs="Times New Roman"/>
                <w:b/>
                <w:color w:val="365F91" w:themeColor="accent1" w:themeShade="BF"/>
              </w:rPr>
              <w:t>Adopting partnership goals and outcomes</w:t>
            </w:r>
          </w:p>
        </w:tc>
      </w:tr>
      <w:tr w:rsidR="00A35380" w:rsidRPr="00920966" w:rsidTr="004426D1">
        <w:tc>
          <w:tcPr>
            <w:tcW w:w="9108" w:type="dxa"/>
            <w:gridSpan w:val="3"/>
          </w:tcPr>
          <w:p w:rsidR="00A35380" w:rsidRPr="00920966" w:rsidRDefault="00A35380" w:rsidP="000B0A31">
            <w:pPr>
              <w:rPr>
                <w:rFonts w:ascii="Times New Roman" w:hAnsi="Times New Roman" w:cs="Times New Roman"/>
                <w:bCs/>
                <w:u w:val="single"/>
              </w:rPr>
            </w:pPr>
            <w:r w:rsidRPr="00A35380">
              <w:rPr>
                <w:rFonts w:ascii="Times New Roman" w:hAnsi="Times New Roman" w:cs="Times New Roman"/>
                <w:bCs/>
              </w:rPr>
              <w:t xml:space="preserve">Workgroup looked at </w:t>
            </w:r>
            <w:r>
              <w:rPr>
                <w:rFonts w:ascii="Times New Roman" w:hAnsi="Times New Roman" w:cs="Times New Roman"/>
                <w:bCs/>
              </w:rPr>
              <w:t xml:space="preserve">1) </w:t>
            </w:r>
            <w:r w:rsidRPr="00920966">
              <w:rPr>
                <w:rFonts w:ascii="Times New Roman" w:hAnsi="Times New Roman" w:cs="Times New Roman"/>
                <w:bCs/>
              </w:rPr>
              <w:t>how the partners will memorialize their future work together includin</w:t>
            </w:r>
            <w:r>
              <w:rPr>
                <w:rFonts w:ascii="Times New Roman" w:hAnsi="Times New Roman" w:cs="Times New Roman"/>
                <w:bCs/>
              </w:rPr>
              <w:t xml:space="preserve">g the option of a new agreement; and 2) </w:t>
            </w:r>
            <w:r w:rsidRPr="00A35380">
              <w:rPr>
                <w:rFonts w:ascii="Times New Roman" w:hAnsi="Times New Roman" w:cs="Times New Roman"/>
                <w:bCs/>
              </w:rPr>
              <w:t>m</w:t>
            </w:r>
            <w:r w:rsidRPr="00920966">
              <w:rPr>
                <w:rFonts w:ascii="Times New Roman" w:hAnsi="Times New Roman" w:cs="Times New Roman"/>
                <w:bCs/>
              </w:rPr>
              <w:t>ethods for developing and approving/adopting program goals with process options for periodically revising, updating based on emerging issues and ensuring contin</w:t>
            </w:r>
            <w:r w:rsidR="008924F3">
              <w:rPr>
                <w:rFonts w:ascii="Times New Roman" w:hAnsi="Times New Roman" w:cs="Times New Roman"/>
                <w:bCs/>
              </w:rPr>
              <w:t xml:space="preserve">ued partner commitment to goals; and 3) partnership privileges. </w:t>
            </w:r>
            <w:r w:rsidRPr="00920966">
              <w:rPr>
                <w:rFonts w:ascii="Times New Roman" w:hAnsi="Times New Roman" w:cs="Times New Roman"/>
                <w:bCs/>
              </w:rPr>
              <w:t xml:space="preserve">  </w:t>
            </w:r>
          </w:p>
          <w:p w:rsidR="00A35380" w:rsidRPr="00920966" w:rsidRDefault="00A35380" w:rsidP="006202C7">
            <w:pPr>
              <w:rPr>
                <w:rFonts w:ascii="Times New Roman" w:hAnsi="Times New Roman" w:cs="Times New Roman"/>
                <w:u w:val="single"/>
              </w:rPr>
            </w:pPr>
          </w:p>
        </w:tc>
      </w:tr>
      <w:tr w:rsidR="00552168" w:rsidRPr="00920966" w:rsidTr="00C415B2">
        <w:tc>
          <w:tcPr>
            <w:tcW w:w="1672" w:type="dxa"/>
          </w:tcPr>
          <w:p w:rsidR="00552168" w:rsidRPr="00920966" w:rsidRDefault="00F114F4" w:rsidP="00BE00B3">
            <w:pPr>
              <w:rPr>
                <w:rFonts w:ascii="Times New Roman" w:hAnsi="Times New Roman" w:cs="Times New Roman"/>
                <w:b/>
                <w:color w:val="365F91" w:themeColor="accent1" w:themeShade="BF"/>
              </w:rPr>
            </w:pPr>
            <w:r>
              <w:rPr>
                <w:rFonts w:ascii="Times New Roman" w:hAnsi="Times New Roman" w:cs="Times New Roman"/>
                <w:u w:val="single"/>
              </w:rPr>
              <w:t>Notes:</w:t>
            </w:r>
          </w:p>
        </w:tc>
        <w:tc>
          <w:tcPr>
            <w:tcW w:w="7436" w:type="dxa"/>
            <w:gridSpan w:val="2"/>
          </w:tcPr>
          <w:p w:rsidR="00552168" w:rsidRPr="008924F3" w:rsidRDefault="00552168" w:rsidP="00552168">
            <w:pPr>
              <w:rPr>
                <w:rFonts w:ascii="Times New Roman" w:hAnsi="Times New Roman" w:cs="Times New Roman"/>
                <w:u w:val="single"/>
              </w:rPr>
            </w:pPr>
            <w:r w:rsidRPr="008924F3">
              <w:rPr>
                <w:rFonts w:ascii="Times New Roman" w:hAnsi="Times New Roman" w:cs="Times New Roman"/>
                <w:u w:val="single"/>
              </w:rPr>
              <w:t>Options for CBP participatory document:</w:t>
            </w:r>
          </w:p>
          <w:p w:rsidR="008924F3" w:rsidRPr="008924F3" w:rsidRDefault="008924F3" w:rsidP="008924F3">
            <w:pPr>
              <w:rPr>
                <w:rFonts w:ascii="Times New Roman" w:hAnsi="Times New Roman" w:cs="Times New Roman"/>
                <w:u w:val="single"/>
              </w:rPr>
            </w:pPr>
          </w:p>
          <w:p w:rsidR="008924F3" w:rsidRPr="008924F3" w:rsidRDefault="008924F3" w:rsidP="00224D02">
            <w:pPr>
              <w:spacing w:line="240" w:lineRule="auto"/>
              <w:ind w:left="720"/>
              <w:jc w:val="both"/>
              <w:rPr>
                <w:rFonts w:ascii="Times New Roman" w:hAnsi="Times New Roman" w:cs="Times New Roman"/>
              </w:rPr>
            </w:pPr>
            <w:r w:rsidRPr="008924F3">
              <w:rPr>
                <w:rFonts w:ascii="Times New Roman" w:hAnsi="Times New Roman" w:cs="Times New Roman"/>
                <w:u w:val="single"/>
              </w:rPr>
              <w:t>Current problems/considerations</w:t>
            </w:r>
            <w:r w:rsidRPr="008924F3">
              <w:rPr>
                <w:rFonts w:ascii="Times New Roman" w:hAnsi="Times New Roman" w:cs="Times New Roman"/>
              </w:rPr>
              <w:t xml:space="preserve">:   Current agreement/goals are outdated; expired structure and form; long and complicated; not all the issues impacted each jurisdiction; 2010 deadlines; not all the goals are measurable; </w:t>
            </w:r>
          </w:p>
          <w:p w:rsidR="008924F3" w:rsidRPr="008924F3" w:rsidRDefault="008924F3" w:rsidP="00224D02">
            <w:pPr>
              <w:ind w:left="720"/>
              <w:rPr>
                <w:rFonts w:ascii="Times New Roman" w:hAnsi="Times New Roman" w:cs="Times New Roman"/>
              </w:rPr>
            </w:pPr>
            <w:r w:rsidRPr="008924F3">
              <w:rPr>
                <w:rFonts w:ascii="Times New Roman" w:hAnsi="Times New Roman" w:cs="Times New Roman"/>
              </w:rPr>
              <w:lastRenderedPageBreak/>
              <w:t>Governors’ signature mean different things</w:t>
            </w:r>
          </w:p>
          <w:p w:rsidR="00552168" w:rsidRPr="008924F3" w:rsidRDefault="00552168" w:rsidP="00224D02">
            <w:pPr>
              <w:ind w:left="720"/>
              <w:rPr>
                <w:rFonts w:ascii="Times New Roman" w:hAnsi="Times New Roman" w:cs="Times New Roman"/>
              </w:rPr>
            </w:pPr>
          </w:p>
          <w:p w:rsidR="00552168" w:rsidRPr="008924F3" w:rsidRDefault="00552168" w:rsidP="00224D02">
            <w:pPr>
              <w:ind w:left="720"/>
              <w:rPr>
                <w:rFonts w:ascii="Times New Roman" w:hAnsi="Times New Roman" w:cs="Times New Roman"/>
              </w:rPr>
            </w:pPr>
            <w:r w:rsidRPr="008924F3">
              <w:rPr>
                <w:rFonts w:ascii="Times New Roman" w:hAnsi="Times New Roman" w:cs="Times New Roman"/>
                <w:u w:val="single"/>
              </w:rPr>
              <w:t>Solution should</w:t>
            </w:r>
            <w:r w:rsidRPr="008924F3">
              <w:rPr>
                <w:rFonts w:ascii="Times New Roman" w:hAnsi="Times New Roman" w:cs="Times New Roman"/>
              </w:rPr>
              <w:t xml:space="preserve">: </w:t>
            </w:r>
            <w:r w:rsidR="008924F3" w:rsidRPr="008924F3">
              <w:rPr>
                <w:rFonts w:ascii="Times New Roman" w:hAnsi="Times New Roman" w:cs="Times New Roman"/>
              </w:rPr>
              <w:t xml:space="preserve"> h</w:t>
            </w:r>
            <w:r w:rsidRPr="008924F3">
              <w:rPr>
                <w:rFonts w:ascii="Times New Roman" w:hAnsi="Times New Roman" w:cs="Times New Roman"/>
              </w:rPr>
              <w:t>ave Foundational Goals</w:t>
            </w:r>
            <w:r w:rsidR="008924F3" w:rsidRPr="008924F3">
              <w:rPr>
                <w:rFonts w:ascii="Times New Roman" w:hAnsi="Times New Roman" w:cs="Times New Roman"/>
              </w:rPr>
              <w:t xml:space="preserve"> (</w:t>
            </w:r>
            <w:r w:rsidRPr="008924F3">
              <w:rPr>
                <w:rFonts w:ascii="Times New Roman" w:hAnsi="Times New Roman" w:cs="Times New Roman"/>
              </w:rPr>
              <w:t>PSC crafts the Foundational Goals</w:t>
            </w:r>
            <w:r w:rsidR="008924F3" w:rsidRPr="008924F3">
              <w:rPr>
                <w:rFonts w:ascii="Times New Roman" w:hAnsi="Times New Roman" w:cs="Times New Roman"/>
              </w:rPr>
              <w:t>/</w:t>
            </w:r>
            <w:r w:rsidRPr="008924F3">
              <w:rPr>
                <w:rFonts w:ascii="Times New Roman" w:hAnsi="Times New Roman" w:cs="Times New Roman"/>
              </w:rPr>
              <w:t>Partnership agrees to meet once a year</w:t>
            </w:r>
            <w:r w:rsidR="008924F3" w:rsidRPr="008924F3">
              <w:rPr>
                <w:rFonts w:ascii="Times New Roman" w:hAnsi="Times New Roman" w:cs="Times New Roman"/>
              </w:rPr>
              <w:t xml:space="preserve">);  </w:t>
            </w:r>
            <w:r w:rsidRPr="008924F3">
              <w:rPr>
                <w:rFonts w:ascii="Times New Roman" w:hAnsi="Times New Roman" w:cs="Times New Roman"/>
              </w:rPr>
              <w:t>Commitment to partner together</w:t>
            </w:r>
            <w:r w:rsidR="00224D02">
              <w:rPr>
                <w:rFonts w:ascii="Times New Roman" w:hAnsi="Times New Roman" w:cs="Times New Roman"/>
              </w:rPr>
              <w:t xml:space="preserve">  </w:t>
            </w:r>
            <w:r w:rsidR="008924F3" w:rsidRPr="008924F3">
              <w:rPr>
                <w:rFonts w:ascii="Times New Roman" w:hAnsi="Times New Roman" w:cs="Times New Roman"/>
              </w:rPr>
              <w:t>(</w:t>
            </w:r>
            <w:r w:rsidRPr="008924F3">
              <w:rPr>
                <w:rFonts w:ascii="Times New Roman" w:hAnsi="Times New Roman" w:cs="Times New Roman"/>
              </w:rPr>
              <w:t>Agree to the “what”</w:t>
            </w:r>
            <w:r w:rsidR="008924F3" w:rsidRPr="008924F3">
              <w:rPr>
                <w:rFonts w:ascii="Times New Roman" w:hAnsi="Times New Roman" w:cs="Times New Roman"/>
              </w:rPr>
              <w:t>); have operational support; have o</w:t>
            </w:r>
            <w:r w:rsidRPr="008924F3">
              <w:rPr>
                <w:rFonts w:ascii="Times New Roman" w:hAnsi="Times New Roman" w:cs="Times New Roman"/>
              </w:rPr>
              <w:t>verarching partner goals (not specific outcomes)</w:t>
            </w:r>
            <w:r w:rsidR="008924F3" w:rsidRPr="008924F3">
              <w:rPr>
                <w:rFonts w:ascii="Times New Roman" w:hAnsi="Times New Roman" w:cs="Times New Roman"/>
              </w:rPr>
              <w:t>; c</w:t>
            </w:r>
            <w:r w:rsidRPr="008924F3">
              <w:rPr>
                <w:rFonts w:ascii="Times New Roman" w:hAnsi="Times New Roman" w:cs="Times New Roman"/>
              </w:rPr>
              <w:t>reate “Bay Cabinets” for each jurisdiction</w:t>
            </w:r>
          </w:p>
          <w:p w:rsidR="008924F3" w:rsidRDefault="008924F3" w:rsidP="008924F3">
            <w:pPr>
              <w:rPr>
                <w:rFonts w:ascii="Times New Roman" w:hAnsi="Times New Roman" w:cs="Times New Roman"/>
                <w:b/>
              </w:rPr>
            </w:pPr>
          </w:p>
          <w:p w:rsidR="00224D02" w:rsidRPr="00224D02" w:rsidRDefault="008924F3" w:rsidP="00224D02">
            <w:pPr>
              <w:pStyle w:val="ListParagraph"/>
              <w:numPr>
                <w:ilvl w:val="0"/>
                <w:numId w:val="21"/>
              </w:numPr>
              <w:rPr>
                <w:sz w:val="22"/>
                <w:szCs w:val="22"/>
              </w:rPr>
            </w:pPr>
            <w:r w:rsidRPr="00224D02">
              <w:rPr>
                <w:sz w:val="22"/>
                <w:szCs w:val="22"/>
              </w:rPr>
              <w:t>Option 1: Agreement without goals</w:t>
            </w:r>
          </w:p>
          <w:p w:rsidR="008924F3" w:rsidRPr="00224D02" w:rsidRDefault="008924F3" w:rsidP="00224D02">
            <w:pPr>
              <w:pStyle w:val="ListParagraph"/>
              <w:spacing w:after="200"/>
              <w:rPr>
                <w:sz w:val="22"/>
                <w:szCs w:val="22"/>
              </w:rPr>
            </w:pPr>
            <w:r w:rsidRPr="00224D02">
              <w:rPr>
                <w:sz w:val="22"/>
                <w:szCs w:val="22"/>
              </w:rPr>
              <w:t>It would be something that ties us all together</w:t>
            </w:r>
            <w:r w:rsidR="00224D02" w:rsidRPr="00224D02">
              <w:rPr>
                <w:sz w:val="22"/>
                <w:szCs w:val="22"/>
              </w:rPr>
              <w:t xml:space="preserve">; </w:t>
            </w:r>
            <w:r w:rsidRPr="00224D02">
              <w:rPr>
                <w:sz w:val="22"/>
                <w:szCs w:val="22"/>
              </w:rPr>
              <w:t>Reconfirms the benefits of the Program</w:t>
            </w:r>
            <w:r w:rsidR="00224D02" w:rsidRPr="00224D02">
              <w:rPr>
                <w:sz w:val="22"/>
                <w:szCs w:val="22"/>
              </w:rPr>
              <w:t xml:space="preserve">; </w:t>
            </w:r>
            <w:r w:rsidRPr="00224D02">
              <w:rPr>
                <w:sz w:val="22"/>
                <w:szCs w:val="22"/>
              </w:rPr>
              <w:t>Breakout mutual interest in a separate document – have “Friends and Family” goals (SMART goals)</w:t>
            </w:r>
          </w:p>
          <w:p w:rsidR="008924F3" w:rsidRPr="00224D02" w:rsidRDefault="008924F3" w:rsidP="008924F3">
            <w:pPr>
              <w:pStyle w:val="ListParagraph"/>
              <w:numPr>
                <w:ilvl w:val="1"/>
                <w:numId w:val="11"/>
              </w:numPr>
              <w:spacing w:line="240" w:lineRule="auto"/>
              <w:rPr>
                <w:i/>
                <w:sz w:val="22"/>
                <w:szCs w:val="22"/>
              </w:rPr>
            </w:pPr>
            <w:r w:rsidRPr="00224D02">
              <w:rPr>
                <w:i/>
                <w:sz w:val="22"/>
                <w:szCs w:val="22"/>
              </w:rPr>
              <w:t>Pros – Being all in; Focus on the partnership/relationship; More simple and efficient; Transparency at the federal level</w:t>
            </w:r>
          </w:p>
          <w:p w:rsidR="00552168" w:rsidRPr="00224D02" w:rsidRDefault="008924F3" w:rsidP="00224D02">
            <w:pPr>
              <w:pStyle w:val="ListParagraph"/>
              <w:numPr>
                <w:ilvl w:val="1"/>
                <w:numId w:val="11"/>
              </w:numPr>
              <w:spacing w:line="240" w:lineRule="auto"/>
              <w:rPr>
                <w:bCs/>
                <w:sz w:val="22"/>
                <w:szCs w:val="22"/>
                <w:u w:val="single"/>
              </w:rPr>
            </w:pPr>
            <w:r w:rsidRPr="00224D02">
              <w:rPr>
                <w:i/>
                <w:sz w:val="22"/>
                <w:szCs w:val="22"/>
              </w:rPr>
              <w:t>Cons – Having the agreement and goals separate; Perception “All for one”; Complication – tracking which state is focused on which goal</w:t>
            </w:r>
          </w:p>
          <w:p w:rsidR="00224D02" w:rsidRPr="00920966" w:rsidRDefault="00224D02" w:rsidP="00224D02">
            <w:pPr>
              <w:pStyle w:val="ListParagraph"/>
              <w:spacing w:line="240" w:lineRule="auto"/>
              <w:ind w:left="1440"/>
              <w:rPr>
                <w:bCs/>
                <w:sz w:val="22"/>
                <w:szCs w:val="22"/>
                <w:u w:val="single"/>
              </w:rPr>
            </w:pPr>
          </w:p>
        </w:tc>
      </w:tr>
      <w:tr w:rsidR="00552168" w:rsidRPr="00920966" w:rsidTr="00C415B2">
        <w:tc>
          <w:tcPr>
            <w:tcW w:w="1672" w:type="dxa"/>
          </w:tcPr>
          <w:p w:rsidR="00552168" w:rsidRPr="00920966" w:rsidRDefault="00F114F4" w:rsidP="00BE00B3">
            <w:pPr>
              <w:rPr>
                <w:rFonts w:ascii="Times New Roman" w:hAnsi="Times New Roman" w:cs="Times New Roman"/>
                <w:b/>
                <w:color w:val="365F91" w:themeColor="accent1" w:themeShade="BF"/>
              </w:rPr>
            </w:pPr>
            <w:r>
              <w:rPr>
                <w:rFonts w:ascii="Times New Roman" w:hAnsi="Times New Roman" w:cs="Times New Roman"/>
                <w:u w:val="single"/>
              </w:rPr>
              <w:lastRenderedPageBreak/>
              <w:t>Notes:</w:t>
            </w:r>
          </w:p>
        </w:tc>
        <w:tc>
          <w:tcPr>
            <w:tcW w:w="7436" w:type="dxa"/>
            <w:gridSpan w:val="2"/>
          </w:tcPr>
          <w:p w:rsidR="00552168" w:rsidRPr="00224D02" w:rsidRDefault="00224D02" w:rsidP="00552168">
            <w:pPr>
              <w:rPr>
                <w:rFonts w:ascii="Times New Roman" w:hAnsi="Times New Roman" w:cs="Times New Roman"/>
                <w:u w:val="single"/>
              </w:rPr>
            </w:pPr>
            <w:r>
              <w:rPr>
                <w:rFonts w:ascii="Times New Roman" w:hAnsi="Times New Roman" w:cs="Times New Roman"/>
                <w:u w:val="single"/>
              </w:rPr>
              <w:t>Options for Updating Goals</w:t>
            </w:r>
          </w:p>
          <w:p w:rsidR="00224D02" w:rsidRDefault="00224D02" w:rsidP="00224D02">
            <w:pPr>
              <w:rPr>
                <w:rFonts w:ascii="Times New Roman" w:hAnsi="Times New Roman" w:cs="Times New Roman"/>
                <w:u w:val="single"/>
              </w:rPr>
            </w:pPr>
          </w:p>
          <w:p w:rsidR="00224D02" w:rsidRDefault="00552168" w:rsidP="00224D02">
            <w:pPr>
              <w:ind w:left="720"/>
              <w:rPr>
                <w:rFonts w:ascii="Times New Roman" w:hAnsi="Times New Roman" w:cs="Times New Roman"/>
              </w:rPr>
            </w:pPr>
            <w:r w:rsidRPr="00920966">
              <w:rPr>
                <w:rFonts w:ascii="Times New Roman" w:hAnsi="Times New Roman" w:cs="Times New Roman"/>
                <w:u w:val="single"/>
              </w:rPr>
              <w:t>Current Problems</w:t>
            </w:r>
            <w:r w:rsidRPr="00920966">
              <w:rPr>
                <w:rFonts w:ascii="Times New Roman" w:hAnsi="Times New Roman" w:cs="Times New Roman"/>
              </w:rPr>
              <w:t>:  Everybody signed everything</w:t>
            </w:r>
            <w:r w:rsidR="00224D02">
              <w:t xml:space="preserve">; </w:t>
            </w:r>
            <w:r w:rsidRPr="00920966">
              <w:rPr>
                <w:rFonts w:ascii="Times New Roman" w:hAnsi="Times New Roman" w:cs="Times New Roman"/>
              </w:rPr>
              <w:t>Broad and too many</w:t>
            </w:r>
            <w:r w:rsidR="00224D02">
              <w:t xml:space="preserve">; </w:t>
            </w:r>
            <w:r w:rsidRPr="00920966">
              <w:rPr>
                <w:rFonts w:ascii="Times New Roman" w:hAnsi="Times New Roman" w:cs="Times New Roman"/>
              </w:rPr>
              <w:t>Could not measure the goals</w:t>
            </w:r>
            <w:r w:rsidR="00224D02">
              <w:t xml:space="preserve">; </w:t>
            </w:r>
            <w:r w:rsidRPr="00920966">
              <w:rPr>
                <w:rFonts w:ascii="Times New Roman" w:hAnsi="Times New Roman" w:cs="Times New Roman"/>
              </w:rPr>
              <w:t xml:space="preserve">Working at the lowest common denominator </w:t>
            </w:r>
            <w:r w:rsidR="00224D02">
              <w:t xml:space="preserve">; </w:t>
            </w:r>
            <w:r w:rsidRPr="00920966">
              <w:rPr>
                <w:rFonts w:ascii="Times New Roman" w:hAnsi="Times New Roman" w:cs="Times New Roman"/>
              </w:rPr>
              <w:t>Too many versions are circulating</w:t>
            </w:r>
            <w:r w:rsidR="00224D02">
              <w:t xml:space="preserve">; </w:t>
            </w:r>
            <w:r w:rsidRPr="00920966">
              <w:rPr>
                <w:rFonts w:ascii="Times New Roman" w:hAnsi="Times New Roman" w:cs="Times New Roman"/>
              </w:rPr>
              <w:t>Signed/Working</w:t>
            </w:r>
          </w:p>
          <w:p w:rsidR="00224D02" w:rsidRDefault="00224D02" w:rsidP="00224D02">
            <w:pPr>
              <w:ind w:left="720"/>
              <w:rPr>
                <w:rFonts w:ascii="Times New Roman" w:hAnsi="Times New Roman" w:cs="Times New Roman"/>
                <w:u w:val="single"/>
              </w:rPr>
            </w:pPr>
          </w:p>
          <w:p w:rsidR="00224D02" w:rsidRPr="00224D02" w:rsidRDefault="00552168" w:rsidP="00224D02">
            <w:pPr>
              <w:ind w:left="720"/>
              <w:rPr>
                <w:rFonts w:ascii="Times New Roman" w:hAnsi="Times New Roman" w:cs="Times New Roman"/>
              </w:rPr>
            </w:pPr>
            <w:r w:rsidRPr="00224D02">
              <w:rPr>
                <w:rFonts w:ascii="Times New Roman" w:hAnsi="Times New Roman" w:cs="Times New Roman"/>
                <w:u w:val="single"/>
              </w:rPr>
              <w:t>Solutions Should</w:t>
            </w:r>
            <w:r w:rsidRPr="00920966">
              <w:rPr>
                <w:rFonts w:ascii="Times New Roman" w:hAnsi="Times New Roman" w:cs="Times New Roman"/>
              </w:rPr>
              <w:t xml:space="preserve">: </w:t>
            </w:r>
            <w:r w:rsidR="00224D02" w:rsidRPr="00224D02">
              <w:rPr>
                <w:rFonts w:ascii="Times New Roman" w:hAnsi="Times New Roman" w:cs="Times New Roman"/>
              </w:rPr>
              <w:t xml:space="preserve"> Based on who wants/should be working on the goal; Each jurisdiction decides what they want to do; All work is done via Partnership involvement; If you sign-on to a goal – you report on it; SMART/outcome based “Friends and Family” goals – derived from the Foundational Goals (Leverage resources; Goals are developed and supported via the GIT and there is an option for public involvement)</w:t>
            </w:r>
          </w:p>
          <w:p w:rsidR="00224D02" w:rsidRDefault="00224D02" w:rsidP="00224D02">
            <w:pPr>
              <w:rPr>
                <w:rFonts w:ascii="Times New Roman" w:hAnsi="Times New Roman" w:cs="Times New Roman"/>
                <w:b/>
              </w:rPr>
            </w:pPr>
          </w:p>
          <w:p w:rsidR="00224D02" w:rsidRPr="00224D02" w:rsidRDefault="00224D02" w:rsidP="00224D02">
            <w:pPr>
              <w:pStyle w:val="ListParagraph"/>
              <w:numPr>
                <w:ilvl w:val="0"/>
                <w:numId w:val="21"/>
              </w:numPr>
              <w:rPr>
                <w:sz w:val="22"/>
                <w:szCs w:val="22"/>
              </w:rPr>
            </w:pPr>
            <w:r w:rsidRPr="00224D02">
              <w:rPr>
                <w:sz w:val="22"/>
                <w:szCs w:val="22"/>
              </w:rPr>
              <w:t>Option 1: Have appropriate federal/state/partner sign-on to the goals</w:t>
            </w:r>
          </w:p>
          <w:p w:rsidR="00224D02" w:rsidRPr="00224D02" w:rsidRDefault="00224D02" w:rsidP="00224D02">
            <w:pPr>
              <w:pStyle w:val="ListParagraph"/>
              <w:ind w:left="360"/>
              <w:rPr>
                <w:sz w:val="22"/>
                <w:szCs w:val="22"/>
              </w:rPr>
            </w:pPr>
          </w:p>
          <w:p w:rsidR="00224D02" w:rsidRPr="00224D02" w:rsidRDefault="00224D02" w:rsidP="00224D02">
            <w:pPr>
              <w:pStyle w:val="ListParagraph"/>
              <w:numPr>
                <w:ilvl w:val="0"/>
                <w:numId w:val="21"/>
              </w:numPr>
              <w:rPr>
                <w:sz w:val="22"/>
                <w:szCs w:val="22"/>
              </w:rPr>
            </w:pPr>
            <w:r w:rsidRPr="00224D02">
              <w:rPr>
                <w:sz w:val="22"/>
                <w:szCs w:val="22"/>
              </w:rPr>
              <w:t>Option 2: Have EPA serve as the federal representation.  EPA works with the individual feds via a MOU</w:t>
            </w:r>
          </w:p>
          <w:p w:rsidR="00224D02" w:rsidRPr="00224D02" w:rsidRDefault="00224D02" w:rsidP="00224D02">
            <w:pPr>
              <w:pStyle w:val="ListParagraph"/>
              <w:numPr>
                <w:ilvl w:val="1"/>
                <w:numId w:val="11"/>
              </w:numPr>
              <w:spacing w:line="240" w:lineRule="auto"/>
              <w:rPr>
                <w:i/>
                <w:sz w:val="22"/>
                <w:szCs w:val="22"/>
              </w:rPr>
            </w:pPr>
            <w:r w:rsidRPr="00920966">
              <w:rPr>
                <w:i/>
                <w:sz w:val="22"/>
                <w:szCs w:val="22"/>
              </w:rPr>
              <w:t xml:space="preserve">Pro – </w:t>
            </w:r>
            <w:r w:rsidRPr="00224D02">
              <w:rPr>
                <w:i/>
                <w:sz w:val="22"/>
                <w:szCs w:val="22"/>
              </w:rPr>
              <w:t>Keeps work moving forward</w:t>
            </w:r>
            <w:r>
              <w:rPr>
                <w:i/>
                <w:sz w:val="22"/>
                <w:szCs w:val="22"/>
              </w:rPr>
              <w:t xml:space="preserve">; </w:t>
            </w:r>
            <w:r w:rsidRPr="00224D02">
              <w:rPr>
                <w:i/>
                <w:sz w:val="22"/>
                <w:szCs w:val="22"/>
              </w:rPr>
              <w:t>“Really mean it”</w:t>
            </w:r>
          </w:p>
          <w:p w:rsidR="00224D02" w:rsidRPr="00224D02" w:rsidRDefault="00224D02" w:rsidP="00224D02">
            <w:pPr>
              <w:pStyle w:val="ListParagraph"/>
              <w:numPr>
                <w:ilvl w:val="1"/>
                <w:numId w:val="11"/>
              </w:numPr>
              <w:spacing w:line="240" w:lineRule="auto"/>
              <w:rPr>
                <w:i/>
                <w:sz w:val="22"/>
                <w:szCs w:val="22"/>
              </w:rPr>
            </w:pPr>
            <w:r w:rsidRPr="00224D02">
              <w:rPr>
                <w:i/>
                <w:sz w:val="22"/>
                <w:szCs w:val="22"/>
              </w:rPr>
              <w:t>Con –No way to influence a state; Makes it more complex; Less transparency</w:t>
            </w:r>
          </w:p>
          <w:p w:rsidR="00552168" w:rsidRPr="00920966" w:rsidRDefault="00552168" w:rsidP="00224D02">
            <w:pPr>
              <w:ind w:left="720"/>
              <w:rPr>
                <w:rFonts w:ascii="Times New Roman" w:hAnsi="Times New Roman" w:cs="Times New Roman"/>
              </w:rPr>
            </w:pPr>
          </w:p>
        </w:tc>
      </w:tr>
      <w:tr w:rsidR="00BE00B3" w:rsidRPr="00920966" w:rsidTr="00C415B2">
        <w:tc>
          <w:tcPr>
            <w:tcW w:w="1672" w:type="dxa"/>
          </w:tcPr>
          <w:p w:rsidR="00BE00B3" w:rsidRPr="00920966" w:rsidRDefault="00F114F4" w:rsidP="00BE00B3">
            <w:pPr>
              <w:rPr>
                <w:rFonts w:ascii="Times New Roman" w:hAnsi="Times New Roman" w:cs="Times New Roman"/>
                <w:b/>
                <w:color w:val="365F91" w:themeColor="accent1" w:themeShade="BF"/>
              </w:rPr>
            </w:pPr>
            <w:r>
              <w:rPr>
                <w:rFonts w:ascii="Times New Roman" w:hAnsi="Times New Roman" w:cs="Times New Roman"/>
                <w:u w:val="single"/>
              </w:rPr>
              <w:t>Notes:</w:t>
            </w:r>
          </w:p>
        </w:tc>
        <w:tc>
          <w:tcPr>
            <w:tcW w:w="7436" w:type="dxa"/>
            <w:gridSpan w:val="2"/>
          </w:tcPr>
          <w:p w:rsidR="00224D02" w:rsidRPr="0066615E" w:rsidRDefault="0066615E" w:rsidP="00224D02">
            <w:pPr>
              <w:rPr>
                <w:rFonts w:ascii="Times New Roman" w:hAnsi="Times New Roman" w:cs="Times New Roman"/>
                <w:u w:val="single"/>
              </w:rPr>
            </w:pPr>
            <w:r w:rsidRPr="0066615E">
              <w:rPr>
                <w:rFonts w:ascii="Times New Roman" w:hAnsi="Times New Roman" w:cs="Times New Roman"/>
                <w:u w:val="single"/>
              </w:rPr>
              <w:t xml:space="preserve">Options for </w:t>
            </w:r>
            <w:r>
              <w:rPr>
                <w:rFonts w:ascii="Times New Roman" w:hAnsi="Times New Roman" w:cs="Times New Roman"/>
                <w:u w:val="single"/>
              </w:rPr>
              <w:t>Partnership Privilege</w:t>
            </w:r>
            <w:r>
              <w:rPr>
                <w:rFonts w:ascii="Times New Roman" w:hAnsi="Times New Roman" w:cs="Times New Roman"/>
                <w:u w:val="single"/>
              </w:rPr>
              <w:br/>
            </w:r>
          </w:p>
          <w:p w:rsidR="00224D02" w:rsidRPr="00224D02" w:rsidRDefault="00224D02" w:rsidP="00224D02">
            <w:pPr>
              <w:ind w:left="720"/>
              <w:rPr>
                <w:rFonts w:ascii="Times New Roman" w:hAnsi="Times New Roman" w:cs="Times New Roman"/>
              </w:rPr>
            </w:pPr>
            <w:r w:rsidRPr="00224D02">
              <w:rPr>
                <w:rFonts w:ascii="Times New Roman" w:hAnsi="Times New Roman" w:cs="Times New Roman"/>
                <w:u w:val="single"/>
              </w:rPr>
              <w:t>Current problems</w:t>
            </w:r>
            <w:r w:rsidRPr="00224D02">
              <w:rPr>
                <w:rFonts w:ascii="Times New Roman" w:hAnsi="Times New Roman" w:cs="Times New Roman"/>
              </w:rPr>
              <w:t>: Everybody gets money; Small amount of money to support; Advisor and administration support</w:t>
            </w:r>
          </w:p>
          <w:p w:rsidR="00224D02" w:rsidRPr="00224D02" w:rsidRDefault="00224D02" w:rsidP="00224D02">
            <w:pPr>
              <w:ind w:left="720"/>
              <w:rPr>
                <w:rFonts w:ascii="Times New Roman" w:hAnsi="Times New Roman" w:cs="Times New Roman"/>
              </w:rPr>
            </w:pPr>
          </w:p>
          <w:p w:rsidR="00224D02" w:rsidRPr="00224D02" w:rsidRDefault="00224D02" w:rsidP="00224D02">
            <w:pPr>
              <w:ind w:left="720"/>
              <w:rPr>
                <w:rFonts w:ascii="Times New Roman" w:hAnsi="Times New Roman" w:cs="Times New Roman"/>
              </w:rPr>
            </w:pPr>
            <w:r w:rsidRPr="00224D02">
              <w:rPr>
                <w:rFonts w:ascii="Times New Roman" w:hAnsi="Times New Roman" w:cs="Times New Roman"/>
                <w:u w:val="single"/>
              </w:rPr>
              <w:lastRenderedPageBreak/>
              <w:t>Solutions should</w:t>
            </w:r>
            <w:r w:rsidRPr="00224D02">
              <w:rPr>
                <w:rFonts w:ascii="Times New Roman" w:hAnsi="Times New Roman" w:cs="Times New Roman"/>
              </w:rPr>
              <w:t>: Leverage other people’s money; Specific commitment; Money goes to foundational signers; Smarter with how we spend the money</w:t>
            </w:r>
          </w:p>
          <w:p w:rsidR="00224D02" w:rsidRDefault="00224D02" w:rsidP="00224D02">
            <w:pPr>
              <w:rPr>
                <w:rFonts w:ascii="Times New Roman" w:hAnsi="Times New Roman" w:cs="Times New Roman"/>
                <w:u w:val="single"/>
              </w:rPr>
            </w:pPr>
          </w:p>
          <w:p w:rsidR="0066615E" w:rsidRDefault="0066615E" w:rsidP="00224D02">
            <w:pPr>
              <w:rPr>
                <w:rFonts w:ascii="Times New Roman" w:hAnsi="Times New Roman" w:cs="Times New Roman"/>
                <w:u w:val="single"/>
              </w:rPr>
            </w:pPr>
            <w:r>
              <w:rPr>
                <w:rFonts w:ascii="Times New Roman" w:hAnsi="Times New Roman" w:cs="Times New Roman"/>
                <w:u w:val="single"/>
              </w:rPr>
              <w:t xml:space="preserve">Option 1: </w:t>
            </w:r>
            <w:r w:rsidRPr="0066615E">
              <w:rPr>
                <w:rFonts w:ascii="Times New Roman" w:hAnsi="Times New Roman" w:cs="Times New Roman"/>
                <w:color w:val="FF0000"/>
                <w:u w:val="single"/>
              </w:rPr>
              <w:t>(missing?)</w:t>
            </w:r>
          </w:p>
          <w:p w:rsidR="0066615E" w:rsidRPr="00920966" w:rsidRDefault="0066615E" w:rsidP="00224D02">
            <w:pPr>
              <w:rPr>
                <w:rFonts w:ascii="Times New Roman" w:hAnsi="Times New Roman" w:cs="Times New Roman"/>
                <w:u w:val="single"/>
              </w:rPr>
            </w:pPr>
          </w:p>
          <w:p w:rsidR="00224D02" w:rsidRPr="0066615E" w:rsidRDefault="00224D02" w:rsidP="0066615E">
            <w:pPr>
              <w:pStyle w:val="ListParagraph"/>
              <w:numPr>
                <w:ilvl w:val="1"/>
                <w:numId w:val="11"/>
              </w:numPr>
              <w:rPr>
                <w:i/>
                <w:sz w:val="22"/>
                <w:szCs w:val="22"/>
              </w:rPr>
            </w:pPr>
            <w:r w:rsidRPr="0066615E">
              <w:rPr>
                <w:i/>
                <w:sz w:val="22"/>
                <w:szCs w:val="22"/>
              </w:rPr>
              <w:t>Pros – Clean water/improved water quality; Money for signing; Help states improve their goals; Science services; Get knowledge and experience</w:t>
            </w:r>
            <w:r w:rsidR="0066615E" w:rsidRPr="0066615E">
              <w:rPr>
                <w:i/>
                <w:sz w:val="22"/>
                <w:szCs w:val="22"/>
              </w:rPr>
              <w:t xml:space="preserve">; </w:t>
            </w:r>
            <w:r w:rsidRPr="0066615E">
              <w:rPr>
                <w:i/>
                <w:sz w:val="22"/>
                <w:szCs w:val="22"/>
              </w:rPr>
              <w:t>Decision making</w:t>
            </w:r>
            <w:r w:rsidR="0066615E" w:rsidRPr="0066615E">
              <w:rPr>
                <w:i/>
                <w:sz w:val="22"/>
                <w:szCs w:val="22"/>
              </w:rPr>
              <w:t xml:space="preserve">; </w:t>
            </w:r>
            <w:r w:rsidRPr="0066615E">
              <w:rPr>
                <w:i/>
                <w:sz w:val="22"/>
                <w:szCs w:val="22"/>
              </w:rPr>
              <w:t>Crafting the Foundational goals</w:t>
            </w:r>
          </w:p>
          <w:p w:rsidR="00495BF1" w:rsidRPr="00224D02" w:rsidRDefault="00224D02" w:rsidP="0066615E">
            <w:pPr>
              <w:pStyle w:val="ListParagraph"/>
              <w:numPr>
                <w:ilvl w:val="1"/>
                <w:numId w:val="11"/>
              </w:numPr>
              <w:rPr>
                <w:sz w:val="22"/>
                <w:szCs w:val="22"/>
                <w:u w:val="single"/>
              </w:rPr>
            </w:pPr>
            <w:r w:rsidRPr="0066615E">
              <w:rPr>
                <w:i/>
                <w:sz w:val="22"/>
                <w:szCs w:val="22"/>
              </w:rPr>
              <w:t>Con –Money distribution</w:t>
            </w:r>
          </w:p>
        </w:tc>
      </w:tr>
      <w:tr w:rsidR="00BE00B3" w:rsidRPr="00920966" w:rsidTr="00C415B2">
        <w:tc>
          <w:tcPr>
            <w:tcW w:w="1672" w:type="dxa"/>
          </w:tcPr>
          <w:p w:rsidR="00BE00B3" w:rsidRPr="00920966" w:rsidRDefault="00BE00B3" w:rsidP="00BE00B3">
            <w:pPr>
              <w:rPr>
                <w:rFonts w:ascii="Times New Roman" w:hAnsi="Times New Roman" w:cs="Times New Roman"/>
                <w:b/>
                <w:color w:val="365F91" w:themeColor="accent1" w:themeShade="BF"/>
              </w:rPr>
            </w:pPr>
          </w:p>
        </w:tc>
        <w:tc>
          <w:tcPr>
            <w:tcW w:w="7436" w:type="dxa"/>
            <w:gridSpan w:val="2"/>
          </w:tcPr>
          <w:p w:rsidR="00BE00B3" w:rsidRPr="00920966" w:rsidRDefault="00BE00B3" w:rsidP="00BE00B3">
            <w:pPr>
              <w:rPr>
                <w:rFonts w:ascii="Times New Roman" w:hAnsi="Times New Roman" w:cs="Times New Roman"/>
                <w:u w:val="single"/>
              </w:rPr>
            </w:pPr>
          </w:p>
        </w:tc>
      </w:tr>
    </w:tbl>
    <w:p w:rsidR="00934EDC" w:rsidRDefault="00934EDC" w:rsidP="0066615E">
      <w:pPr>
        <w:spacing w:line="240" w:lineRule="auto"/>
      </w:pPr>
    </w:p>
    <w:sectPr w:rsidR="00934EDC" w:rsidSect="003B62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A293B"/>
    <w:multiLevelType w:val="hybridMultilevel"/>
    <w:tmpl w:val="D07005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82A31C7"/>
    <w:multiLevelType w:val="hybridMultilevel"/>
    <w:tmpl w:val="9A9A6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5664B"/>
    <w:multiLevelType w:val="hybridMultilevel"/>
    <w:tmpl w:val="738EA3C8"/>
    <w:lvl w:ilvl="0" w:tplc="6184A4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F26159"/>
    <w:multiLevelType w:val="hybridMultilevel"/>
    <w:tmpl w:val="A6ACB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706DF9"/>
    <w:multiLevelType w:val="hybridMultilevel"/>
    <w:tmpl w:val="2B8E7126"/>
    <w:lvl w:ilvl="0" w:tplc="2B8C1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B43F97"/>
    <w:multiLevelType w:val="hybridMultilevel"/>
    <w:tmpl w:val="630426C6"/>
    <w:lvl w:ilvl="0" w:tplc="F9B8C3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2875DF"/>
    <w:multiLevelType w:val="hybridMultilevel"/>
    <w:tmpl w:val="9DD43F14"/>
    <w:lvl w:ilvl="0" w:tplc="C2C463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1F6D40"/>
    <w:multiLevelType w:val="hybridMultilevel"/>
    <w:tmpl w:val="BD12D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267896"/>
    <w:multiLevelType w:val="hybridMultilevel"/>
    <w:tmpl w:val="EECA5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8173A2"/>
    <w:multiLevelType w:val="hybridMultilevel"/>
    <w:tmpl w:val="DDB632CC"/>
    <w:lvl w:ilvl="0" w:tplc="12E430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17473D"/>
    <w:multiLevelType w:val="hybridMultilevel"/>
    <w:tmpl w:val="C3BCA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A177E3"/>
    <w:multiLevelType w:val="hybridMultilevel"/>
    <w:tmpl w:val="35489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F70E2C"/>
    <w:multiLevelType w:val="hybridMultilevel"/>
    <w:tmpl w:val="AFD2AE3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2F59A0"/>
    <w:multiLevelType w:val="hybridMultilevel"/>
    <w:tmpl w:val="4AFE40FA"/>
    <w:lvl w:ilvl="0" w:tplc="19C63A96">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b w:val="0"/>
      </w:rPr>
    </w:lvl>
    <w:lvl w:ilvl="2" w:tplc="DE20FCE0" w:tentative="1">
      <w:start w:val="1"/>
      <w:numFmt w:val="bullet"/>
      <w:lvlText w:val="•"/>
      <w:lvlJc w:val="left"/>
      <w:pPr>
        <w:tabs>
          <w:tab w:val="num" w:pos="2160"/>
        </w:tabs>
        <w:ind w:left="2160" w:hanging="360"/>
      </w:pPr>
      <w:rPr>
        <w:rFonts w:ascii="Arial" w:hAnsi="Arial" w:hint="default"/>
      </w:rPr>
    </w:lvl>
    <w:lvl w:ilvl="3" w:tplc="D5628A40" w:tentative="1">
      <w:start w:val="1"/>
      <w:numFmt w:val="bullet"/>
      <w:lvlText w:val="•"/>
      <w:lvlJc w:val="left"/>
      <w:pPr>
        <w:tabs>
          <w:tab w:val="num" w:pos="2880"/>
        </w:tabs>
        <w:ind w:left="2880" w:hanging="360"/>
      </w:pPr>
      <w:rPr>
        <w:rFonts w:ascii="Arial" w:hAnsi="Arial" w:hint="default"/>
      </w:rPr>
    </w:lvl>
    <w:lvl w:ilvl="4" w:tplc="2864D722" w:tentative="1">
      <w:start w:val="1"/>
      <w:numFmt w:val="bullet"/>
      <w:lvlText w:val="•"/>
      <w:lvlJc w:val="left"/>
      <w:pPr>
        <w:tabs>
          <w:tab w:val="num" w:pos="3600"/>
        </w:tabs>
        <w:ind w:left="3600" w:hanging="360"/>
      </w:pPr>
      <w:rPr>
        <w:rFonts w:ascii="Arial" w:hAnsi="Arial" w:hint="default"/>
      </w:rPr>
    </w:lvl>
    <w:lvl w:ilvl="5" w:tplc="BDDC2FCE" w:tentative="1">
      <w:start w:val="1"/>
      <w:numFmt w:val="bullet"/>
      <w:lvlText w:val="•"/>
      <w:lvlJc w:val="left"/>
      <w:pPr>
        <w:tabs>
          <w:tab w:val="num" w:pos="4320"/>
        </w:tabs>
        <w:ind w:left="4320" w:hanging="360"/>
      </w:pPr>
      <w:rPr>
        <w:rFonts w:ascii="Arial" w:hAnsi="Arial" w:hint="default"/>
      </w:rPr>
    </w:lvl>
    <w:lvl w:ilvl="6" w:tplc="41D01736" w:tentative="1">
      <w:start w:val="1"/>
      <w:numFmt w:val="bullet"/>
      <w:lvlText w:val="•"/>
      <w:lvlJc w:val="left"/>
      <w:pPr>
        <w:tabs>
          <w:tab w:val="num" w:pos="5040"/>
        </w:tabs>
        <w:ind w:left="5040" w:hanging="360"/>
      </w:pPr>
      <w:rPr>
        <w:rFonts w:ascii="Arial" w:hAnsi="Arial" w:hint="default"/>
      </w:rPr>
    </w:lvl>
    <w:lvl w:ilvl="7" w:tplc="DD942756" w:tentative="1">
      <w:start w:val="1"/>
      <w:numFmt w:val="bullet"/>
      <w:lvlText w:val="•"/>
      <w:lvlJc w:val="left"/>
      <w:pPr>
        <w:tabs>
          <w:tab w:val="num" w:pos="5760"/>
        </w:tabs>
        <w:ind w:left="5760" w:hanging="360"/>
      </w:pPr>
      <w:rPr>
        <w:rFonts w:ascii="Arial" w:hAnsi="Arial" w:hint="default"/>
      </w:rPr>
    </w:lvl>
    <w:lvl w:ilvl="8" w:tplc="7618E986" w:tentative="1">
      <w:start w:val="1"/>
      <w:numFmt w:val="bullet"/>
      <w:lvlText w:val="•"/>
      <w:lvlJc w:val="left"/>
      <w:pPr>
        <w:tabs>
          <w:tab w:val="num" w:pos="6480"/>
        </w:tabs>
        <w:ind w:left="6480" w:hanging="360"/>
      </w:pPr>
      <w:rPr>
        <w:rFonts w:ascii="Arial" w:hAnsi="Arial" w:hint="default"/>
      </w:rPr>
    </w:lvl>
  </w:abstractNum>
  <w:abstractNum w:abstractNumId="14">
    <w:nsid w:val="4AD807F6"/>
    <w:multiLevelType w:val="hybridMultilevel"/>
    <w:tmpl w:val="F2CE85C6"/>
    <w:lvl w:ilvl="0" w:tplc="19C63A96">
      <w:start w:val="1"/>
      <w:numFmt w:val="bullet"/>
      <w:lvlText w:val="•"/>
      <w:lvlJc w:val="left"/>
      <w:pPr>
        <w:tabs>
          <w:tab w:val="num" w:pos="720"/>
        </w:tabs>
        <w:ind w:left="720" w:hanging="360"/>
      </w:pPr>
      <w:rPr>
        <w:rFonts w:ascii="Arial" w:hAnsi="Arial" w:hint="default"/>
      </w:rPr>
    </w:lvl>
    <w:lvl w:ilvl="1" w:tplc="ABB23B4E">
      <w:start w:val="1"/>
      <w:numFmt w:val="decimal"/>
      <w:lvlText w:val="%2."/>
      <w:lvlJc w:val="left"/>
      <w:pPr>
        <w:tabs>
          <w:tab w:val="num" w:pos="1440"/>
        </w:tabs>
        <w:ind w:left="1440" w:hanging="360"/>
      </w:pPr>
      <w:rPr>
        <w:rFonts w:hint="default"/>
        <w:b w:val="0"/>
      </w:rPr>
    </w:lvl>
    <w:lvl w:ilvl="2" w:tplc="DE20FCE0" w:tentative="1">
      <w:start w:val="1"/>
      <w:numFmt w:val="bullet"/>
      <w:lvlText w:val="•"/>
      <w:lvlJc w:val="left"/>
      <w:pPr>
        <w:tabs>
          <w:tab w:val="num" w:pos="2160"/>
        </w:tabs>
        <w:ind w:left="2160" w:hanging="360"/>
      </w:pPr>
      <w:rPr>
        <w:rFonts w:ascii="Arial" w:hAnsi="Arial" w:hint="default"/>
      </w:rPr>
    </w:lvl>
    <w:lvl w:ilvl="3" w:tplc="D5628A40" w:tentative="1">
      <w:start w:val="1"/>
      <w:numFmt w:val="bullet"/>
      <w:lvlText w:val="•"/>
      <w:lvlJc w:val="left"/>
      <w:pPr>
        <w:tabs>
          <w:tab w:val="num" w:pos="2880"/>
        </w:tabs>
        <w:ind w:left="2880" w:hanging="360"/>
      </w:pPr>
      <w:rPr>
        <w:rFonts w:ascii="Arial" w:hAnsi="Arial" w:hint="default"/>
      </w:rPr>
    </w:lvl>
    <w:lvl w:ilvl="4" w:tplc="2864D722" w:tentative="1">
      <w:start w:val="1"/>
      <w:numFmt w:val="bullet"/>
      <w:lvlText w:val="•"/>
      <w:lvlJc w:val="left"/>
      <w:pPr>
        <w:tabs>
          <w:tab w:val="num" w:pos="3600"/>
        </w:tabs>
        <w:ind w:left="3600" w:hanging="360"/>
      </w:pPr>
      <w:rPr>
        <w:rFonts w:ascii="Arial" w:hAnsi="Arial" w:hint="default"/>
      </w:rPr>
    </w:lvl>
    <w:lvl w:ilvl="5" w:tplc="BDDC2FCE" w:tentative="1">
      <w:start w:val="1"/>
      <w:numFmt w:val="bullet"/>
      <w:lvlText w:val="•"/>
      <w:lvlJc w:val="left"/>
      <w:pPr>
        <w:tabs>
          <w:tab w:val="num" w:pos="4320"/>
        </w:tabs>
        <w:ind w:left="4320" w:hanging="360"/>
      </w:pPr>
      <w:rPr>
        <w:rFonts w:ascii="Arial" w:hAnsi="Arial" w:hint="default"/>
      </w:rPr>
    </w:lvl>
    <w:lvl w:ilvl="6" w:tplc="41D01736" w:tentative="1">
      <w:start w:val="1"/>
      <w:numFmt w:val="bullet"/>
      <w:lvlText w:val="•"/>
      <w:lvlJc w:val="left"/>
      <w:pPr>
        <w:tabs>
          <w:tab w:val="num" w:pos="5040"/>
        </w:tabs>
        <w:ind w:left="5040" w:hanging="360"/>
      </w:pPr>
      <w:rPr>
        <w:rFonts w:ascii="Arial" w:hAnsi="Arial" w:hint="default"/>
      </w:rPr>
    </w:lvl>
    <w:lvl w:ilvl="7" w:tplc="DD942756" w:tentative="1">
      <w:start w:val="1"/>
      <w:numFmt w:val="bullet"/>
      <w:lvlText w:val="•"/>
      <w:lvlJc w:val="left"/>
      <w:pPr>
        <w:tabs>
          <w:tab w:val="num" w:pos="5760"/>
        </w:tabs>
        <w:ind w:left="5760" w:hanging="360"/>
      </w:pPr>
      <w:rPr>
        <w:rFonts w:ascii="Arial" w:hAnsi="Arial" w:hint="default"/>
      </w:rPr>
    </w:lvl>
    <w:lvl w:ilvl="8" w:tplc="7618E986" w:tentative="1">
      <w:start w:val="1"/>
      <w:numFmt w:val="bullet"/>
      <w:lvlText w:val="•"/>
      <w:lvlJc w:val="left"/>
      <w:pPr>
        <w:tabs>
          <w:tab w:val="num" w:pos="6480"/>
        </w:tabs>
        <w:ind w:left="6480" w:hanging="360"/>
      </w:pPr>
      <w:rPr>
        <w:rFonts w:ascii="Arial" w:hAnsi="Arial" w:hint="default"/>
      </w:rPr>
    </w:lvl>
  </w:abstractNum>
  <w:abstractNum w:abstractNumId="15">
    <w:nsid w:val="4BD86D43"/>
    <w:multiLevelType w:val="hybridMultilevel"/>
    <w:tmpl w:val="6ED8CC78"/>
    <w:lvl w:ilvl="0" w:tplc="04090001">
      <w:start w:val="1"/>
      <w:numFmt w:val="bullet"/>
      <w:lvlText w:val=""/>
      <w:lvlJc w:val="left"/>
      <w:pPr>
        <w:ind w:left="720" w:hanging="360"/>
      </w:pPr>
      <w:rPr>
        <w:rFonts w:ascii="Symbol" w:hAnsi="Symbol" w:hint="default"/>
      </w:rPr>
    </w:lvl>
    <w:lvl w:ilvl="1" w:tplc="0338D876">
      <w:numFmt w:val="bullet"/>
      <w:lvlText w:val="-"/>
      <w:lvlJc w:val="left"/>
      <w:pPr>
        <w:ind w:left="1440" w:hanging="360"/>
      </w:pPr>
      <w:rPr>
        <w:rFonts w:ascii="Helv" w:eastAsiaTheme="minorHAnsi" w:hAnsi="Helv" w:cs="Helv" w:hint="default"/>
      </w:rPr>
    </w:lvl>
    <w:lvl w:ilvl="2" w:tplc="04090013">
      <w:start w:val="1"/>
      <w:numFmt w:val="upperRoman"/>
      <w:lvlText w:val="%3."/>
      <w:lvlJc w:val="right"/>
      <w:pPr>
        <w:ind w:left="2700" w:hanging="720"/>
      </w:pPr>
      <w:rPr>
        <w:rFonts w:hint="default"/>
      </w:rPr>
    </w:lvl>
    <w:lvl w:ilvl="3" w:tplc="A436134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451B59"/>
    <w:multiLevelType w:val="hybridMultilevel"/>
    <w:tmpl w:val="A568FA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33450F3"/>
    <w:multiLevelType w:val="hybridMultilevel"/>
    <w:tmpl w:val="BC709098"/>
    <w:lvl w:ilvl="0" w:tplc="AE5C983A">
      <w:start w:val="1"/>
      <w:numFmt w:val="upperRoman"/>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232BCF"/>
    <w:multiLevelType w:val="hybridMultilevel"/>
    <w:tmpl w:val="A6ACB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B807F1"/>
    <w:multiLevelType w:val="hybridMultilevel"/>
    <w:tmpl w:val="710EB2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B5A0B10"/>
    <w:multiLevelType w:val="hybridMultilevel"/>
    <w:tmpl w:val="E264BCBC"/>
    <w:lvl w:ilvl="0" w:tplc="C5E2F5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8"/>
  </w:num>
  <w:num w:numId="3">
    <w:abstractNumId w:val="3"/>
  </w:num>
  <w:num w:numId="4">
    <w:abstractNumId w:val="4"/>
  </w:num>
  <w:num w:numId="5">
    <w:abstractNumId w:val="9"/>
  </w:num>
  <w:num w:numId="6">
    <w:abstractNumId w:val="20"/>
  </w:num>
  <w:num w:numId="7">
    <w:abstractNumId w:val="6"/>
  </w:num>
  <w:num w:numId="8">
    <w:abstractNumId w:val="2"/>
  </w:num>
  <w:num w:numId="9">
    <w:abstractNumId w:val="5"/>
  </w:num>
  <w:num w:numId="10">
    <w:abstractNumId w:val="12"/>
  </w:num>
  <w:num w:numId="11">
    <w:abstractNumId w:val="15"/>
  </w:num>
  <w:num w:numId="12">
    <w:abstractNumId w:val="14"/>
  </w:num>
  <w:num w:numId="13">
    <w:abstractNumId w:val="13"/>
  </w:num>
  <w:num w:numId="14">
    <w:abstractNumId w:val="7"/>
  </w:num>
  <w:num w:numId="15">
    <w:abstractNumId w:val="0"/>
  </w:num>
  <w:num w:numId="16">
    <w:abstractNumId w:val="8"/>
  </w:num>
  <w:num w:numId="17">
    <w:abstractNumId w:val="10"/>
  </w:num>
  <w:num w:numId="18">
    <w:abstractNumId w:val="11"/>
  </w:num>
  <w:num w:numId="19">
    <w:abstractNumId w:val="1"/>
  </w:num>
  <w:num w:numId="20">
    <w:abstractNumId w:val="16"/>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C429E8"/>
    <w:rsid w:val="000012AB"/>
    <w:rsid w:val="00014942"/>
    <w:rsid w:val="00014AAE"/>
    <w:rsid w:val="000451DA"/>
    <w:rsid w:val="00051B2F"/>
    <w:rsid w:val="00054F3E"/>
    <w:rsid w:val="000764A6"/>
    <w:rsid w:val="000850A8"/>
    <w:rsid w:val="000A02EE"/>
    <w:rsid w:val="000B0A31"/>
    <w:rsid w:val="000C6268"/>
    <w:rsid w:val="000F144D"/>
    <w:rsid w:val="000F6933"/>
    <w:rsid w:val="00120E8A"/>
    <w:rsid w:val="00122E5B"/>
    <w:rsid w:val="00124DB0"/>
    <w:rsid w:val="00166242"/>
    <w:rsid w:val="0017105F"/>
    <w:rsid w:val="001741CA"/>
    <w:rsid w:val="001957B0"/>
    <w:rsid w:val="001A6285"/>
    <w:rsid w:val="001B62C3"/>
    <w:rsid w:val="001F27A4"/>
    <w:rsid w:val="00224D02"/>
    <w:rsid w:val="002359D1"/>
    <w:rsid w:val="00244684"/>
    <w:rsid w:val="0024782F"/>
    <w:rsid w:val="002767E2"/>
    <w:rsid w:val="002D00F5"/>
    <w:rsid w:val="00302377"/>
    <w:rsid w:val="00302D67"/>
    <w:rsid w:val="00311E88"/>
    <w:rsid w:val="00313CF2"/>
    <w:rsid w:val="0034691F"/>
    <w:rsid w:val="00346A81"/>
    <w:rsid w:val="00352133"/>
    <w:rsid w:val="003960D4"/>
    <w:rsid w:val="003A2F38"/>
    <w:rsid w:val="003A2F6C"/>
    <w:rsid w:val="003B12A8"/>
    <w:rsid w:val="003B218C"/>
    <w:rsid w:val="003B621D"/>
    <w:rsid w:val="003C69A2"/>
    <w:rsid w:val="003F3725"/>
    <w:rsid w:val="00415213"/>
    <w:rsid w:val="00433960"/>
    <w:rsid w:val="00495BF1"/>
    <w:rsid w:val="004D1B11"/>
    <w:rsid w:val="004E2F7D"/>
    <w:rsid w:val="004E5970"/>
    <w:rsid w:val="005004EB"/>
    <w:rsid w:val="00514454"/>
    <w:rsid w:val="00522454"/>
    <w:rsid w:val="00543E46"/>
    <w:rsid w:val="00550A43"/>
    <w:rsid w:val="00552168"/>
    <w:rsid w:val="00573DA3"/>
    <w:rsid w:val="005860ED"/>
    <w:rsid w:val="005A2B72"/>
    <w:rsid w:val="005B2890"/>
    <w:rsid w:val="005D24C7"/>
    <w:rsid w:val="00600179"/>
    <w:rsid w:val="00604C60"/>
    <w:rsid w:val="00613159"/>
    <w:rsid w:val="006202C7"/>
    <w:rsid w:val="006260B2"/>
    <w:rsid w:val="006444E8"/>
    <w:rsid w:val="00646A69"/>
    <w:rsid w:val="006538A6"/>
    <w:rsid w:val="00655318"/>
    <w:rsid w:val="0066615E"/>
    <w:rsid w:val="00673C15"/>
    <w:rsid w:val="006A1DBE"/>
    <w:rsid w:val="006D4E6D"/>
    <w:rsid w:val="006F166F"/>
    <w:rsid w:val="006F75D4"/>
    <w:rsid w:val="00717B53"/>
    <w:rsid w:val="007219C9"/>
    <w:rsid w:val="00725A5A"/>
    <w:rsid w:val="007556CE"/>
    <w:rsid w:val="00775037"/>
    <w:rsid w:val="007822BF"/>
    <w:rsid w:val="00783C06"/>
    <w:rsid w:val="007A7453"/>
    <w:rsid w:val="007C034D"/>
    <w:rsid w:val="007D2023"/>
    <w:rsid w:val="007D4952"/>
    <w:rsid w:val="007F30B4"/>
    <w:rsid w:val="00810530"/>
    <w:rsid w:val="008237F8"/>
    <w:rsid w:val="00832027"/>
    <w:rsid w:val="00833465"/>
    <w:rsid w:val="008877B3"/>
    <w:rsid w:val="00887DF8"/>
    <w:rsid w:val="008913E4"/>
    <w:rsid w:val="008924F3"/>
    <w:rsid w:val="0089524A"/>
    <w:rsid w:val="00897064"/>
    <w:rsid w:val="008F03DC"/>
    <w:rsid w:val="008F32A6"/>
    <w:rsid w:val="008F7BF6"/>
    <w:rsid w:val="00907B2B"/>
    <w:rsid w:val="00920966"/>
    <w:rsid w:val="00924631"/>
    <w:rsid w:val="00934EDC"/>
    <w:rsid w:val="00943D47"/>
    <w:rsid w:val="00945272"/>
    <w:rsid w:val="00947D6E"/>
    <w:rsid w:val="0099005D"/>
    <w:rsid w:val="009C2F6E"/>
    <w:rsid w:val="009E4D7B"/>
    <w:rsid w:val="009F5A62"/>
    <w:rsid w:val="00A02C26"/>
    <w:rsid w:val="00A15425"/>
    <w:rsid w:val="00A3004D"/>
    <w:rsid w:val="00A35380"/>
    <w:rsid w:val="00A37C6A"/>
    <w:rsid w:val="00A53C19"/>
    <w:rsid w:val="00A6096C"/>
    <w:rsid w:val="00A77BE1"/>
    <w:rsid w:val="00A91D90"/>
    <w:rsid w:val="00AA4E94"/>
    <w:rsid w:val="00AA7AE4"/>
    <w:rsid w:val="00AB15E2"/>
    <w:rsid w:val="00AB2E1E"/>
    <w:rsid w:val="00AB6928"/>
    <w:rsid w:val="00AB6967"/>
    <w:rsid w:val="00AC4BDF"/>
    <w:rsid w:val="00AC6BF5"/>
    <w:rsid w:val="00AE4881"/>
    <w:rsid w:val="00AF063F"/>
    <w:rsid w:val="00AF4BCB"/>
    <w:rsid w:val="00B10AB2"/>
    <w:rsid w:val="00B61916"/>
    <w:rsid w:val="00B71F7B"/>
    <w:rsid w:val="00B80905"/>
    <w:rsid w:val="00BA1925"/>
    <w:rsid w:val="00BA5D0A"/>
    <w:rsid w:val="00BD1514"/>
    <w:rsid w:val="00BD7B02"/>
    <w:rsid w:val="00BE00B3"/>
    <w:rsid w:val="00C009D3"/>
    <w:rsid w:val="00C0465D"/>
    <w:rsid w:val="00C25EB2"/>
    <w:rsid w:val="00C36352"/>
    <w:rsid w:val="00C415B2"/>
    <w:rsid w:val="00C429E8"/>
    <w:rsid w:val="00C65923"/>
    <w:rsid w:val="00C700A0"/>
    <w:rsid w:val="00CA289A"/>
    <w:rsid w:val="00CA30EA"/>
    <w:rsid w:val="00CA57AE"/>
    <w:rsid w:val="00CE1158"/>
    <w:rsid w:val="00D04D7E"/>
    <w:rsid w:val="00D04F8A"/>
    <w:rsid w:val="00D467A0"/>
    <w:rsid w:val="00D56853"/>
    <w:rsid w:val="00DA1AC5"/>
    <w:rsid w:val="00DA7200"/>
    <w:rsid w:val="00DC1CAC"/>
    <w:rsid w:val="00DE52B5"/>
    <w:rsid w:val="00DF0F0D"/>
    <w:rsid w:val="00DF71E3"/>
    <w:rsid w:val="00E23D75"/>
    <w:rsid w:val="00E25BCB"/>
    <w:rsid w:val="00E35BE1"/>
    <w:rsid w:val="00E40B51"/>
    <w:rsid w:val="00E44103"/>
    <w:rsid w:val="00E4740C"/>
    <w:rsid w:val="00E8433C"/>
    <w:rsid w:val="00E873E9"/>
    <w:rsid w:val="00EE15FE"/>
    <w:rsid w:val="00EE326F"/>
    <w:rsid w:val="00F114F4"/>
    <w:rsid w:val="00F252BD"/>
    <w:rsid w:val="00F25EEB"/>
    <w:rsid w:val="00F958C8"/>
    <w:rsid w:val="00F95D7C"/>
    <w:rsid w:val="00FC52C0"/>
    <w:rsid w:val="00FD46E1"/>
    <w:rsid w:val="00FE1F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9E8"/>
    <w:pPr>
      <w:spacing w:line="276" w:lineRule="auto"/>
    </w:pPr>
  </w:style>
  <w:style w:type="paragraph" w:styleId="Heading1">
    <w:name w:val="heading 1"/>
    <w:basedOn w:val="Normal"/>
    <w:next w:val="Normal"/>
    <w:link w:val="Heading1Char"/>
    <w:uiPriority w:val="9"/>
    <w:qFormat/>
    <w:rsid w:val="00573D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73DA3"/>
    <w:pPr>
      <w:spacing w:before="100" w:beforeAutospacing="1" w:after="100" w:afterAutospacing="1"/>
      <w:outlineLvl w:val="1"/>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573DA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73DA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573DA3"/>
    <w:pPr>
      <w:spacing w:before="100" w:beforeAutospacing="1" w:after="100" w:afterAutospacing="1"/>
      <w:outlineLvl w:val="4"/>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DA3"/>
    <w:rPr>
      <w:rFonts w:asciiTheme="majorHAnsi" w:eastAsiaTheme="majorEastAsia" w:hAnsiTheme="majorHAnsi" w:cstheme="majorBidi"/>
      <w:b/>
      <w:bCs/>
      <w:color w:val="365F91" w:themeColor="accent1" w:themeShade="BF"/>
      <w:sz w:val="28"/>
      <w:szCs w:val="28"/>
    </w:rPr>
  </w:style>
  <w:style w:type="paragraph" w:styleId="NoSpacing">
    <w:name w:val="No Spacing"/>
    <w:autoRedefine/>
    <w:uiPriority w:val="99"/>
    <w:qFormat/>
    <w:rsid w:val="00573DA3"/>
    <w:pPr>
      <w:spacing w:after="0"/>
    </w:pPr>
    <w:rPr>
      <w:rFonts w:ascii="Calibri" w:eastAsia="Times New Roman" w:hAnsi="Calibri" w:cs="Times New Roman"/>
      <w:szCs w:val="20"/>
    </w:rPr>
  </w:style>
  <w:style w:type="paragraph" w:styleId="ListParagraph">
    <w:name w:val="List Paragraph"/>
    <w:basedOn w:val="Normal"/>
    <w:uiPriority w:val="34"/>
    <w:qFormat/>
    <w:rsid w:val="00573DA3"/>
    <w:pPr>
      <w:spacing w:after="0"/>
      <w:ind w:left="720"/>
      <w:contextualSpacing/>
    </w:pPr>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573DA3"/>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73DA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73DA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73DA3"/>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573DA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3DA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73DA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73DA3"/>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573DA3"/>
    <w:rPr>
      <w:i/>
      <w:iCs/>
    </w:rPr>
  </w:style>
  <w:style w:type="character" w:styleId="SubtleEmphasis">
    <w:name w:val="Subtle Emphasis"/>
    <w:aliases w:val="New Normal"/>
    <w:basedOn w:val="DefaultParagraphFont"/>
    <w:uiPriority w:val="19"/>
    <w:qFormat/>
    <w:rsid w:val="00573DA3"/>
    <w:rPr>
      <w:i/>
      <w:iCs/>
      <w:color w:val="808080" w:themeColor="text1" w:themeTint="7F"/>
    </w:rPr>
  </w:style>
  <w:style w:type="character" w:styleId="IntenseEmphasis">
    <w:name w:val="Intense Emphasis"/>
    <w:basedOn w:val="DefaultParagraphFont"/>
    <w:uiPriority w:val="21"/>
    <w:qFormat/>
    <w:rsid w:val="00573DA3"/>
    <w:rPr>
      <w:b/>
      <w:bCs/>
      <w:i/>
      <w:iCs/>
      <w:color w:val="4F81BD" w:themeColor="accent1"/>
    </w:rPr>
  </w:style>
  <w:style w:type="table" w:styleId="TableGrid">
    <w:name w:val="Table Grid"/>
    <w:basedOn w:val="TableNormal"/>
    <w:uiPriority w:val="59"/>
    <w:rsid w:val="00C429E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34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E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9</Pages>
  <Words>2201</Words>
  <Characters>12549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14721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gbarranc</dc:creator>
  <cp:lastModifiedBy>Tim Wilke</cp:lastModifiedBy>
  <cp:revision>134</cp:revision>
  <cp:lastPrinted>2013-02-20T17:51:00Z</cp:lastPrinted>
  <dcterms:created xsi:type="dcterms:W3CDTF">2013-02-20T15:55:00Z</dcterms:created>
  <dcterms:modified xsi:type="dcterms:W3CDTF">2013-02-20T19:08:00Z</dcterms:modified>
</cp:coreProperties>
</file>