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D99" w:rsidRPr="00800E2B" w:rsidRDefault="006758E0" w:rsidP="009E5E5D">
      <w:pPr>
        <w:jc w:val="center"/>
        <w:rPr>
          <w:sz w:val="28"/>
          <w:szCs w:val="28"/>
          <w:u w:val="single"/>
        </w:rPr>
      </w:pPr>
      <w:r w:rsidRPr="00800E2B">
        <w:rPr>
          <w:sz w:val="28"/>
          <w:szCs w:val="28"/>
          <w:u w:val="single"/>
        </w:rPr>
        <w:t xml:space="preserve">How the New 2025 SAV </w:t>
      </w:r>
      <w:r w:rsidR="009E5E5D">
        <w:rPr>
          <w:sz w:val="28"/>
          <w:szCs w:val="28"/>
          <w:u w:val="single"/>
        </w:rPr>
        <w:t xml:space="preserve">Outcome </w:t>
      </w:r>
      <w:r w:rsidRPr="00800E2B">
        <w:rPr>
          <w:sz w:val="28"/>
          <w:szCs w:val="28"/>
          <w:u w:val="single"/>
        </w:rPr>
        <w:t>Target Was Determined</w:t>
      </w:r>
      <w:r w:rsidR="009E5E5D">
        <w:rPr>
          <w:rStyle w:val="FootnoteReference"/>
          <w:sz w:val="28"/>
          <w:szCs w:val="28"/>
          <w:u w:val="single"/>
        </w:rPr>
        <w:footnoteReference w:id="1"/>
      </w:r>
    </w:p>
    <w:p w:rsidR="00B71D8E" w:rsidRDefault="00B71D8E" w:rsidP="00B71D8E">
      <w:pPr>
        <w:jc w:val="center"/>
        <w:rPr>
          <w:sz w:val="24"/>
          <w:szCs w:val="24"/>
        </w:rPr>
      </w:pPr>
      <w:r>
        <w:rPr>
          <w:sz w:val="24"/>
          <w:szCs w:val="24"/>
        </w:rPr>
        <w:t>8/2/2013 DRAFT – SUBJECT TO REVISION</w:t>
      </w:r>
    </w:p>
    <w:p w:rsidR="006758E0" w:rsidRDefault="006758E0" w:rsidP="006758E0">
      <w:pPr>
        <w:rPr>
          <w:sz w:val="24"/>
          <w:szCs w:val="24"/>
        </w:rPr>
      </w:pPr>
      <w:r>
        <w:rPr>
          <w:sz w:val="24"/>
          <w:szCs w:val="24"/>
        </w:rPr>
        <w:t xml:space="preserve">A new Chesapeake Bay Agreement is being written to be presented in the </w:t>
      </w:r>
      <w:proofErr w:type="gramStart"/>
      <w:r>
        <w:rPr>
          <w:sz w:val="24"/>
          <w:szCs w:val="24"/>
        </w:rPr>
        <w:t>Fall</w:t>
      </w:r>
      <w:proofErr w:type="gramEnd"/>
      <w:r>
        <w:rPr>
          <w:sz w:val="24"/>
          <w:szCs w:val="24"/>
        </w:rPr>
        <w:t xml:space="preserve"> of 2013 and will include an SAV restoration target for </w:t>
      </w:r>
      <w:r w:rsidR="0003215E">
        <w:rPr>
          <w:sz w:val="24"/>
          <w:szCs w:val="24"/>
        </w:rPr>
        <w:t xml:space="preserve">the year </w:t>
      </w:r>
      <w:r>
        <w:rPr>
          <w:sz w:val="24"/>
          <w:szCs w:val="24"/>
        </w:rPr>
        <w:t xml:space="preserve">2025, </w:t>
      </w:r>
      <w:r w:rsidR="0003215E">
        <w:rPr>
          <w:sz w:val="24"/>
          <w:szCs w:val="24"/>
        </w:rPr>
        <w:t xml:space="preserve">but </w:t>
      </w:r>
      <w:r>
        <w:rPr>
          <w:sz w:val="24"/>
          <w:szCs w:val="24"/>
        </w:rPr>
        <w:t>keeping the ultimate restoration goal of 185,000 acres. A meaningful and attainable target should be based on the best data available using sound analysis.</w:t>
      </w:r>
    </w:p>
    <w:p w:rsidR="006758E0" w:rsidRDefault="006758E0" w:rsidP="006758E0">
      <w:pPr>
        <w:rPr>
          <w:sz w:val="24"/>
          <w:szCs w:val="24"/>
        </w:rPr>
      </w:pPr>
      <w:r>
        <w:rPr>
          <w:sz w:val="24"/>
          <w:szCs w:val="24"/>
        </w:rPr>
        <w:t xml:space="preserve">A set of graphs </w:t>
      </w:r>
      <w:r w:rsidR="00797271">
        <w:rPr>
          <w:sz w:val="24"/>
          <w:szCs w:val="24"/>
        </w:rPr>
        <w:t xml:space="preserve">were developed showing the amount of SAV surveyed from 1984 to 2012 for each </w:t>
      </w:r>
      <w:r w:rsidR="009E5E5D">
        <w:rPr>
          <w:sz w:val="24"/>
          <w:szCs w:val="24"/>
        </w:rPr>
        <w:t xml:space="preserve">of the </w:t>
      </w:r>
      <w:r w:rsidR="00797271">
        <w:rPr>
          <w:sz w:val="24"/>
          <w:szCs w:val="24"/>
        </w:rPr>
        <w:t xml:space="preserve">Chesapeake Bay </w:t>
      </w:r>
      <w:r w:rsidR="009E5E5D">
        <w:rPr>
          <w:sz w:val="24"/>
          <w:szCs w:val="24"/>
        </w:rPr>
        <w:t>s</w:t>
      </w:r>
      <w:r w:rsidR="00797271">
        <w:rPr>
          <w:sz w:val="24"/>
          <w:szCs w:val="24"/>
        </w:rPr>
        <w:t>egment</w:t>
      </w:r>
      <w:r w:rsidR="009E5E5D">
        <w:rPr>
          <w:sz w:val="24"/>
          <w:szCs w:val="24"/>
        </w:rPr>
        <w:t>s</w:t>
      </w:r>
      <w:r w:rsidR="00797271">
        <w:rPr>
          <w:sz w:val="24"/>
          <w:szCs w:val="24"/>
        </w:rPr>
        <w:t xml:space="preserve"> used in setting the </w:t>
      </w:r>
      <w:r w:rsidR="009E5E5D">
        <w:rPr>
          <w:sz w:val="24"/>
          <w:szCs w:val="24"/>
        </w:rPr>
        <w:t xml:space="preserve">original </w:t>
      </w:r>
      <w:r w:rsidR="00797271">
        <w:rPr>
          <w:sz w:val="24"/>
          <w:szCs w:val="24"/>
        </w:rPr>
        <w:t>SAV Restoration Goal</w:t>
      </w:r>
      <w:r w:rsidR="009E5E5D">
        <w:rPr>
          <w:sz w:val="24"/>
          <w:szCs w:val="24"/>
        </w:rPr>
        <w:t xml:space="preserve">, overlaid with </w:t>
      </w:r>
      <w:r w:rsidR="00797271">
        <w:rPr>
          <w:sz w:val="24"/>
          <w:szCs w:val="24"/>
        </w:rPr>
        <w:t>the linear trend of the SAV</w:t>
      </w:r>
      <w:r w:rsidR="008A49B2">
        <w:rPr>
          <w:sz w:val="24"/>
          <w:szCs w:val="24"/>
        </w:rPr>
        <w:t xml:space="preserve"> abundance</w:t>
      </w:r>
      <w:r w:rsidR="009E5E5D">
        <w:rPr>
          <w:sz w:val="24"/>
          <w:szCs w:val="24"/>
        </w:rPr>
        <w:t xml:space="preserve"> through time </w:t>
      </w:r>
      <w:r w:rsidR="008A49B2">
        <w:rPr>
          <w:sz w:val="24"/>
          <w:szCs w:val="24"/>
        </w:rPr>
        <w:t xml:space="preserve">and </w:t>
      </w:r>
      <w:r w:rsidR="009E5E5D">
        <w:rPr>
          <w:sz w:val="24"/>
          <w:szCs w:val="24"/>
        </w:rPr>
        <w:t>compared with the segment’s ultimate SAV acreage r</w:t>
      </w:r>
      <w:r w:rsidR="008A49B2">
        <w:rPr>
          <w:sz w:val="24"/>
          <w:szCs w:val="24"/>
        </w:rPr>
        <w:t xml:space="preserve">estoration </w:t>
      </w:r>
      <w:r w:rsidR="009E5E5D">
        <w:rPr>
          <w:sz w:val="24"/>
          <w:szCs w:val="24"/>
        </w:rPr>
        <w:t>g</w:t>
      </w:r>
      <w:r w:rsidR="008A49B2">
        <w:rPr>
          <w:sz w:val="24"/>
          <w:szCs w:val="24"/>
        </w:rPr>
        <w:t>oal</w:t>
      </w:r>
      <w:r w:rsidR="009E5E5D">
        <w:rPr>
          <w:sz w:val="24"/>
          <w:szCs w:val="24"/>
        </w:rPr>
        <w:t xml:space="preserve"> (Figure 1)</w:t>
      </w:r>
      <w:r w:rsidR="00797271">
        <w:rPr>
          <w:sz w:val="24"/>
          <w:szCs w:val="24"/>
        </w:rPr>
        <w:t>.</w:t>
      </w:r>
    </w:p>
    <w:p w:rsidR="00B74458" w:rsidRDefault="00B74458" w:rsidP="006758E0">
      <w:pPr>
        <w:rPr>
          <w:sz w:val="24"/>
          <w:szCs w:val="24"/>
        </w:rPr>
      </w:pPr>
      <w:r w:rsidRPr="00B74458">
        <w:rPr>
          <w:noProof/>
          <w:sz w:val="24"/>
          <w:szCs w:val="24"/>
        </w:rPr>
        <w:drawing>
          <wp:inline distT="0" distB="0" distL="0" distR="0">
            <wp:extent cx="5943600" cy="2366010"/>
            <wp:effectExtent l="19050" t="0" r="19050" b="0"/>
            <wp:docPr id="10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E5E5D" w:rsidRDefault="009E5E5D" w:rsidP="006758E0">
      <w:pPr>
        <w:rPr>
          <w:sz w:val="24"/>
          <w:szCs w:val="24"/>
        </w:rPr>
      </w:pPr>
      <w:proofErr w:type="gramStart"/>
      <w:r w:rsidRPr="009E5E5D">
        <w:rPr>
          <w:b/>
          <w:sz w:val="24"/>
          <w:szCs w:val="24"/>
        </w:rPr>
        <w:t>Figure 1.</w:t>
      </w:r>
      <w:proofErr w:type="gramEnd"/>
      <w:r>
        <w:rPr>
          <w:sz w:val="24"/>
          <w:szCs w:val="24"/>
        </w:rPr>
        <w:t xml:space="preserve"> </w:t>
      </w:r>
      <w:proofErr w:type="spellStart"/>
      <w:r>
        <w:rPr>
          <w:sz w:val="24"/>
          <w:szCs w:val="24"/>
        </w:rPr>
        <w:t>Honga</w:t>
      </w:r>
      <w:proofErr w:type="spellEnd"/>
      <w:r>
        <w:rPr>
          <w:sz w:val="24"/>
          <w:szCs w:val="24"/>
        </w:rPr>
        <w:t xml:space="preserve"> River segment HNGMH 29 year history of SAV acreage compared with the segment’s SAV acreage restoration goal.</w:t>
      </w:r>
    </w:p>
    <w:p w:rsidR="000A5D99" w:rsidRDefault="000A5D99" w:rsidP="006758E0">
      <w:pPr>
        <w:rPr>
          <w:sz w:val="24"/>
          <w:szCs w:val="24"/>
        </w:rPr>
      </w:pPr>
      <w:r>
        <w:rPr>
          <w:sz w:val="24"/>
          <w:szCs w:val="24"/>
        </w:rPr>
        <w:t xml:space="preserve">It was hoped that comparing the SAV trends with </w:t>
      </w:r>
      <w:r w:rsidR="009E5E5D">
        <w:rPr>
          <w:sz w:val="24"/>
          <w:szCs w:val="24"/>
        </w:rPr>
        <w:t xml:space="preserve">Bay water quality </w:t>
      </w:r>
      <w:r>
        <w:rPr>
          <w:sz w:val="24"/>
          <w:szCs w:val="24"/>
        </w:rPr>
        <w:t>modeled trends in water clarity based on future implementation of BMPs</w:t>
      </w:r>
      <w:r w:rsidR="00112F46">
        <w:rPr>
          <w:sz w:val="24"/>
          <w:szCs w:val="24"/>
        </w:rPr>
        <w:t xml:space="preserve"> would yield a scientifically</w:t>
      </w:r>
      <w:r w:rsidR="009E5E5D">
        <w:rPr>
          <w:sz w:val="24"/>
          <w:szCs w:val="24"/>
        </w:rPr>
        <w:t>-</w:t>
      </w:r>
      <w:r w:rsidR="00112F46">
        <w:rPr>
          <w:sz w:val="24"/>
          <w:szCs w:val="24"/>
        </w:rPr>
        <w:t>based target of expected SAV abundance in 2025.</w:t>
      </w:r>
      <w:r w:rsidR="00DA339F">
        <w:rPr>
          <w:sz w:val="24"/>
          <w:szCs w:val="24"/>
        </w:rPr>
        <w:t xml:space="preserve"> However, in discussions with </w:t>
      </w:r>
      <w:r w:rsidR="009E5E5D">
        <w:rPr>
          <w:sz w:val="24"/>
          <w:szCs w:val="24"/>
        </w:rPr>
        <w:t xml:space="preserve">Chesapeake </w:t>
      </w:r>
      <w:r w:rsidR="0003215E">
        <w:rPr>
          <w:sz w:val="24"/>
          <w:szCs w:val="24"/>
        </w:rPr>
        <w:t xml:space="preserve">Bay Program </w:t>
      </w:r>
      <w:r w:rsidR="00DA339F">
        <w:rPr>
          <w:sz w:val="24"/>
          <w:szCs w:val="24"/>
        </w:rPr>
        <w:t xml:space="preserve">modelers, it was determined that this approach was not </w:t>
      </w:r>
      <w:r w:rsidR="009E5E5D">
        <w:rPr>
          <w:sz w:val="24"/>
          <w:szCs w:val="24"/>
        </w:rPr>
        <w:t>feasible</w:t>
      </w:r>
      <w:r w:rsidR="00DA339F">
        <w:rPr>
          <w:sz w:val="24"/>
          <w:szCs w:val="24"/>
        </w:rPr>
        <w:t>. The STAC reviewed the WQSTM and said that it was unsuitable for estimating</w:t>
      </w:r>
      <w:r w:rsidR="00D37872">
        <w:rPr>
          <w:sz w:val="24"/>
          <w:szCs w:val="24"/>
        </w:rPr>
        <w:t xml:space="preserve"> SAV responses to water </w:t>
      </w:r>
      <w:r w:rsidR="009E5E5D">
        <w:rPr>
          <w:sz w:val="24"/>
          <w:szCs w:val="24"/>
        </w:rPr>
        <w:t>clarity at the Chesapeake Bay segment scale</w:t>
      </w:r>
      <w:r w:rsidR="00D37872">
        <w:rPr>
          <w:sz w:val="24"/>
          <w:szCs w:val="24"/>
        </w:rPr>
        <w:t xml:space="preserve">. Also, the lag times between BMP implementation and </w:t>
      </w:r>
      <w:r w:rsidR="009E5E5D">
        <w:rPr>
          <w:sz w:val="24"/>
          <w:szCs w:val="24"/>
        </w:rPr>
        <w:t xml:space="preserve">Bay </w:t>
      </w:r>
      <w:r w:rsidR="00D37872">
        <w:rPr>
          <w:sz w:val="24"/>
          <w:szCs w:val="24"/>
        </w:rPr>
        <w:t xml:space="preserve">water quality response are </w:t>
      </w:r>
      <w:r w:rsidR="009E5E5D">
        <w:rPr>
          <w:sz w:val="24"/>
          <w:szCs w:val="24"/>
        </w:rPr>
        <w:t xml:space="preserve">not full </w:t>
      </w:r>
      <w:r w:rsidR="00D37872">
        <w:rPr>
          <w:sz w:val="24"/>
          <w:szCs w:val="24"/>
        </w:rPr>
        <w:t xml:space="preserve">known, but could </w:t>
      </w:r>
      <w:r w:rsidR="009E5E5D">
        <w:rPr>
          <w:sz w:val="24"/>
          <w:szCs w:val="24"/>
        </w:rPr>
        <w:t xml:space="preserve">years and up to </w:t>
      </w:r>
      <w:r w:rsidR="00D37872">
        <w:rPr>
          <w:sz w:val="24"/>
          <w:szCs w:val="24"/>
        </w:rPr>
        <w:t>decades.</w:t>
      </w:r>
    </w:p>
    <w:p w:rsidR="00BE15CF" w:rsidRDefault="0003215E" w:rsidP="006758E0">
      <w:pPr>
        <w:rPr>
          <w:sz w:val="24"/>
          <w:szCs w:val="24"/>
        </w:rPr>
      </w:pPr>
      <w:r>
        <w:rPr>
          <w:sz w:val="24"/>
          <w:szCs w:val="24"/>
        </w:rPr>
        <w:lastRenderedPageBreak/>
        <w:t>It therefore fell to looking at the historical record of SAV in the Bay, for which there are continuous data from 1984-2012 (excepting 1988)</w:t>
      </w:r>
      <w:r w:rsidR="009E5E5D">
        <w:rPr>
          <w:sz w:val="24"/>
          <w:szCs w:val="24"/>
        </w:rPr>
        <w:t xml:space="preserve"> for all the Bay segments</w:t>
      </w:r>
      <w:r>
        <w:rPr>
          <w:sz w:val="24"/>
          <w:szCs w:val="24"/>
        </w:rPr>
        <w:t xml:space="preserve">. </w:t>
      </w:r>
      <w:r w:rsidR="008E500B">
        <w:rPr>
          <w:sz w:val="24"/>
          <w:szCs w:val="24"/>
        </w:rPr>
        <w:t xml:space="preserve">Trends among </w:t>
      </w:r>
      <w:r w:rsidR="009E5E5D">
        <w:rPr>
          <w:sz w:val="24"/>
          <w:szCs w:val="24"/>
        </w:rPr>
        <w:t xml:space="preserve">segments grouped by </w:t>
      </w:r>
      <w:r w:rsidR="008E500B">
        <w:rPr>
          <w:sz w:val="24"/>
          <w:szCs w:val="24"/>
        </w:rPr>
        <w:t xml:space="preserve">salinity regimes and regions of the </w:t>
      </w:r>
      <w:r w:rsidR="009E5E5D">
        <w:rPr>
          <w:sz w:val="24"/>
          <w:szCs w:val="24"/>
        </w:rPr>
        <w:t>B</w:t>
      </w:r>
      <w:r w:rsidR="008E500B">
        <w:rPr>
          <w:sz w:val="24"/>
          <w:szCs w:val="24"/>
        </w:rPr>
        <w:t xml:space="preserve">ay were examined. While there were </w:t>
      </w:r>
      <w:r>
        <w:rPr>
          <w:sz w:val="24"/>
          <w:szCs w:val="24"/>
        </w:rPr>
        <w:t xml:space="preserve">generally </w:t>
      </w:r>
      <w:r w:rsidR="008E500B">
        <w:rPr>
          <w:sz w:val="24"/>
          <w:szCs w:val="24"/>
        </w:rPr>
        <w:t xml:space="preserve">no </w:t>
      </w:r>
      <w:r w:rsidR="00117D58">
        <w:rPr>
          <w:sz w:val="24"/>
          <w:szCs w:val="24"/>
        </w:rPr>
        <w:t>correlations between the increases and decreases in SAV in</w:t>
      </w:r>
      <w:r w:rsidR="008E500B">
        <w:rPr>
          <w:sz w:val="24"/>
          <w:szCs w:val="24"/>
        </w:rPr>
        <w:t xml:space="preserve"> the segments within these groups, when the segments were aggregated</w:t>
      </w:r>
      <w:r w:rsidR="00117D58">
        <w:rPr>
          <w:sz w:val="24"/>
          <w:szCs w:val="24"/>
        </w:rPr>
        <w:t>,</w:t>
      </w:r>
      <w:r w:rsidR="008E500B">
        <w:rPr>
          <w:sz w:val="24"/>
          <w:szCs w:val="24"/>
        </w:rPr>
        <w:t xml:space="preserve"> in most cases there was a general upward trend</w:t>
      </w:r>
      <w:r>
        <w:rPr>
          <w:sz w:val="24"/>
          <w:szCs w:val="24"/>
        </w:rPr>
        <w:t xml:space="preserve"> in segments where a trend was shown</w:t>
      </w:r>
      <w:r w:rsidR="008E500B">
        <w:rPr>
          <w:sz w:val="24"/>
          <w:szCs w:val="24"/>
        </w:rPr>
        <w:t xml:space="preserve">. </w:t>
      </w:r>
      <w:r w:rsidR="00BE15CF">
        <w:rPr>
          <w:sz w:val="24"/>
          <w:szCs w:val="24"/>
        </w:rPr>
        <w:t>One thing that bec</w:t>
      </w:r>
      <w:r>
        <w:rPr>
          <w:sz w:val="24"/>
          <w:szCs w:val="24"/>
        </w:rPr>
        <w:t>ame</w:t>
      </w:r>
      <w:r w:rsidR="00BE15CF">
        <w:rPr>
          <w:sz w:val="24"/>
          <w:szCs w:val="24"/>
        </w:rPr>
        <w:t xml:space="preserve"> evide</w:t>
      </w:r>
      <w:r>
        <w:rPr>
          <w:sz w:val="24"/>
          <w:szCs w:val="24"/>
        </w:rPr>
        <w:t>nt when examining these graphs wa</w:t>
      </w:r>
      <w:r w:rsidR="00BE15CF">
        <w:rPr>
          <w:sz w:val="24"/>
          <w:szCs w:val="24"/>
        </w:rPr>
        <w:t xml:space="preserve">s that a small number of segments with large amounts of SAV drive the trends, as is the case with </w:t>
      </w:r>
      <w:r w:rsidR="007E70B0">
        <w:rPr>
          <w:sz w:val="24"/>
          <w:szCs w:val="24"/>
        </w:rPr>
        <w:t>the Susquehanna Flats (</w:t>
      </w:r>
      <w:r w:rsidR="00BE15CF">
        <w:rPr>
          <w:sz w:val="24"/>
          <w:szCs w:val="24"/>
        </w:rPr>
        <w:t>CB1TF2</w:t>
      </w:r>
      <w:r w:rsidR="007E70B0">
        <w:rPr>
          <w:sz w:val="24"/>
          <w:szCs w:val="24"/>
        </w:rPr>
        <w:t xml:space="preserve">) </w:t>
      </w:r>
      <w:r w:rsidR="00BE15CF">
        <w:rPr>
          <w:sz w:val="24"/>
          <w:szCs w:val="24"/>
        </w:rPr>
        <w:t>and</w:t>
      </w:r>
      <w:r w:rsidR="007E70B0">
        <w:rPr>
          <w:sz w:val="24"/>
          <w:szCs w:val="24"/>
        </w:rPr>
        <w:t>,</w:t>
      </w:r>
      <w:r w:rsidR="00BE15CF">
        <w:rPr>
          <w:sz w:val="24"/>
          <w:szCs w:val="24"/>
        </w:rPr>
        <w:t xml:space="preserve"> to a lesser extent,</w:t>
      </w:r>
      <w:r w:rsidR="007E70B0">
        <w:rPr>
          <w:sz w:val="24"/>
          <w:szCs w:val="24"/>
        </w:rPr>
        <w:t xml:space="preserve"> the Maryland</w:t>
      </w:r>
      <w:r w:rsidR="00BE15CF">
        <w:rPr>
          <w:sz w:val="24"/>
          <w:szCs w:val="24"/>
        </w:rPr>
        <w:t xml:space="preserve"> </w:t>
      </w:r>
      <w:r w:rsidR="007E70B0">
        <w:rPr>
          <w:sz w:val="24"/>
          <w:szCs w:val="24"/>
        </w:rPr>
        <w:t>(</w:t>
      </w:r>
      <w:r w:rsidR="00BE15CF">
        <w:rPr>
          <w:sz w:val="24"/>
          <w:szCs w:val="24"/>
        </w:rPr>
        <w:t>POTTF MD</w:t>
      </w:r>
      <w:r w:rsidR="007E70B0">
        <w:rPr>
          <w:sz w:val="24"/>
          <w:szCs w:val="24"/>
        </w:rPr>
        <w:t>) and Virginia (</w:t>
      </w:r>
      <w:r w:rsidR="00BE15CF">
        <w:rPr>
          <w:sz w:val="24"/>
          <w:szCs w:val="24"/>
        </w:rPr>
        <w:t>POTTF VA)</w:t>
      </w:r>
      <w:r w:rsidR="007E70B0">
        <w:rPr>
          <w:sz w:val="24"/>
          <w:szCs w:val="24"/>
        </w:rPr>
        <w:t xml:space="preserve"> portions of the upper tidal Potomac River (</w:t>
      </w:r>
      <w:r w:rsidR="009E5E5D">
        <w:rPr>
          <w:sz w:val="24"/>
          <w:szCs w:val="24"/>
        </w:rPr>
        <w:t>Figure 2</w:t>
      </w:r>
      <w:r w:rsidR="007E70B0">
        <w:rPr>
          <w:sz w:val="24"/>
          <w:szCs w:val="24"/>
        </w:rPr>
        <w:t>)</w:t>
      </w:r>
      <w:r w:rsidR="00BE15CF">
        <w:rPr>
          <w:sz w:val="24"/>
          <w:szCs w:val="24"/>
        </w:rPr>
        <w:t>.</w:t>
      </w:r>
    </w:p>
    <w:p w:rsidR="00BE15CF" w:rsidRDefault="00BE15CF" w:rsidP="006758E0">
      <w:pPr>
        <w:rPr>
          <w:sz w:val="24"/>
          <w:szCs w:val="24"/>
        </w:rPr>
      </w:pPr>
      <w:r w:rsidRPr="00BE15CF">
        <w:rPr>
          <w:noProof/>
          <w:sz w:val="24"/>
          <w:szCs w:val="24"/>
        </w:rPr>
        <w:drawing>
          <wp:inline distT="0" distB="0" distL="0" distR="0">
            <wp:extent cx="5943600" cy="5524500"/>
            <wp:effectExtent l="19050" t="0" r="1905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15CF" w:rsidRDefault="00BE15CF" w:rsidP="006758E0">
      <w:pPr>
        <w:rPr>
          <w:sz w:val="24"/>
          <w:szCs w:val="24"/>
        </w:rPr>
      </w:pPr>
      <w:r w:rsidRPr="00BE15CF">
        <w:rPr>
          <w:noProof/>
          <w:sz w:val="24"/>
          <w:szCs w:val="24"/>
        </w:rPr>
        <w:lastRenderedPageBreak/>
        <w:drawing>
          <wp:inline distT="0" distB="0" distL="0" distR="0">
            <wp:extent cx="5943600" cy="2487930"/>
            <wp:effectExtent l="19050" t="0" r="1905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E70B0" w:rsidRDefault="007E70B0" w:rsidP="006758E0">
      <w:pPr>
        <w:rPr>
          <w:sz w:val="24"/>
          <w:szCs w:val="24"/>
        </w:rPr>
      </w:pPr>
      <w:proofErr w:type="gramStart"/>
      <w:r w:rsidRPr="007E70B0">
        <w:rPr>
          <w:b/>
          <w:sz w:val="24"/>
          <w:szCs w:val="24"/>
        </w:rPr>
        <w:t>Figure 2.</w:t>
      </w:r>
      <w:proofErr w:type="gramEnd"/>
      <w:r>
        <w:rPr>
          <w:sz w:val="24"/>
          <w:szCs w:val="24"/>
        </w:rPr>
        <w:t xml:space="preserve"> Individual (top panel) and combined tidal fresh </w:t>
      </w:r>
      <w:proofErr w:type="spellStart"/>
      <w:r>
        <w:rPr>
          <w:sz w:val="24"/>
          <w:szCs w:val="24"/>
        </w:rPr>
        <w:t>Chespeake</w:t>
      </w:r>
      <w:proofErr w:type="spellEnd"/>
      <w:r>
        <w:rPr>
          <w:sz w:val="24"/>
          <w:szCs w:val="24"/>
        </w:rPr>
        <w:t xml:space="preserve"> Bay segments illustrating long term trends in SAV acreage.</w:t>
      </w:r>
    </w:p>
    <w:p w:rsidR="00751D92" w:rsidRDefault="008E500B" w:rsidP="006758E0">
      <w:pPr>
        <w:rPr>
          <w:sz w:val="24"/>
          <w:szCs w:val="24"/>
        </w:rPr>
      </w:pPr>
      <w:r>
        <w:rPr>
          <w:sz w:val="24"/>
          <w:szCs w:val="24"/>
        </w:rPr>
        <w:t xml:space="preserve">SAV abundance within most segments fell between 2009 and 2012 due to the negative impacts of tropical storms </w:t>
      </w:r>
      <w:r w:rsidR="00EF77AB">
        <w:rPr>
          <w:sz w:val="24"/>
          <w:szCs w:val="24"/>
        </w:rPr>
        <w:t xml:space="preserve">Lee and Irene </w:t>
      </w:r>
      <w:r>
        <w:rPr>
          <w:sz w:val="24"/>
          <w:szCs w:val="24"/>
        </w:rPr>
        <w:t xml:space="preserve">and to high </w:t>
      </w:r>
      <w:r w:rsidR="0074179F">
        <w:rPr>
          <w:sz w:val="24"/>
          <w:szCs w:val="24"/>
        </w:rPr>
        <w:t xml:space="preserve">summer </w:t>
      </w:r>
      <w:r>
        <w:rPr>
          <w:sz w:val="24"/>
          <w:szCs w:val="24"/>
        </w:rPr>
        <w:t>temperatures affecting eelgrass in the lower Bay</w:t>
      </w:r>
      <w:r w:rsidR="00201D25">
        <w:rPr>
          <w:sz w:val="24"/>
          <w:szCs w:val="24"/>
        </w:rPr>
        <w:t xml:space="preserve">. </w:t>
      </w:r>
      <w:r w:rsidR="004F105E">
        <w:t>Overall, SAV acreages were</w:t>
      </w:r>
      <w:r w:rsidR="00751D92">
        <w:t xml:space="preserve"> down over the past four years from 8</w:t>
      </w:r>
      <w:r w:rsidR="004F105E">
        <w:t>5,910 in 2009 to 48,190 in 2012 and the number of segments at or above their restoration goal acreage</w:t>
      </w:r>
      <w:r w:rsidR="0074179F">
        <w:t>s</w:t>
      </w:r>
      <w:r w:rsidR="004F105E">
        <w:t xml:space="preserve"> fell from 20 to 7.</w:t>
      </w:r>
      <w:r w:rsidR="00751D92">
        <w:t xml:space="preserve"> </w:t>
      </w:r>
      <w:r w:rsidR="00201D25">
        <w:rPr>
          <w:sz w:val="24"/>
          <w:szCs w:val="24"/>
        </w:rPr>
        <w:t xml:space="preserve">While </w:t>
      </w:r>
      <w:r w:rsidR="00C2743B">
        <w:rPr>
          <w:sz w:val="24"/>
          <w:szCs w:val="24"/>
        </w:rPr>
        <w:t>49%</w:t>
      </w:r>
      <w:r w:rsidR="00C301D7">
        <w:rPr>
          <w:sz w:val="24"/>
          <w:szCs w:val="24"/>
        </w:rPr>
        <w:t xml:space="preserve"> of the</w:t>
      </w:r>
      <w:r w:rsidR="00201D25">
        <w:rPr>
          <w:sz w:val="24"/>
          <w:szCs w:val="24"/>
        </w:rPr>
        <w:t xml:space="preserve"> segments</w:t>
      </w:r>
      <w:r w:rsidR="0074179F">
        <w:rPr>
          <w:sz w:val="24"/>
          <w:szCs w:val="24"/>
        </w:rPr>
        <w:t xml:space="preserve"> with acreage goals</w:t>
      </w:r>
      <w:r w:rsidR="00201D25">
        <w:rPr>
          <w:sz w:val="24"/>
          <w:szCs w:val="24"/>
        </w:rPr>
        <w:t xml:space="preserve"> (43 out of </w:t>
      </w:r>
      <w:r w:rsidR="00C301D7">
        <w:rPr>
          <w:sz w:val="24"/>
          <w:szCs w:val="24"/>
        </w:rPr>
        <w:t>8</w:t>
      </w:r>
      <w:r w:rsidR="00C2743B">
        <w:rPr>
          <w:sz w:val="24"/>
          <w:szCs w:val="24"/>
        </w:rPr>
        <w:t>8</w:t>
      </w:r>
      <w:r w:rsidR="00201D25">
        <w:rPr>
          <w:sz w:val="24"/>
          <w:szCs w:val="24"/>
        </w:rPr>
        <w:t>) showed an increasing trend in SAV abundance over the past 30 years, they show</w:t>
      </w:r>
      <w:r w:rsidR="00C301D7">
        <w:rPr>
          <w:sz w:val="24"/>
          <w:szCs w:val="24"/>
        </w:rPr>
        <w:t>ed</w:t>
      </w:r>
      <w:r w:rsidR="00201D25">
        <w:rPr>
          <w:sz w:val="24"/>
          <w:szCs w:val="24"/>
        </w:rPr>
        <w:t xml:space="preserve"> a moderate to severe downward trend over the past 5 years</w:t>
      </w:r>
      <w:r w:rsidR="00284EEC">
        <w:rPr>
          <w:sz w:val="24"/>
          <w:szCs w:val="24"/>
        </w:rPr>
        <w:t xml:space="preserve"> (Figures 3 and 4)</w:t>
      </w:r>
      <w:r w:rsidR="00201D25">
        <w:rPr>
          <w:sz w:val="24"/>
          <w:szCs w:val="24"/>
        </w:rPr>
        <w:t>.</w:t>
      </w:r>
      <w:r w:rsidR="00751D92">
        <w:rPr>
          <w:sz w:val="24"/>
          <w:szCs w:val="24"/>
        </w:rPr>
        <w:t xml:space="preserve"> </w:t>
      </w:r>
      <w:r w:rsidR="00284EEC">
        <w:rPr>
          <w:sz w:val="24"/>
          <w:szCs w:val="24"/>
        </w:rPr>
        <w:t xml:space="preserve"> </w:t>
      </w:r>
      <w:r w:rsidR="0074179F">
        <w:rPr>
          <w:sz w:val="24"/>
          <w:szCs w:val="24"/>
        </w:rPr>
        <w:t>Although</w:t>
      </w:r>
      <w:r w:rsidR="00EF77AB">
        <w:rPr>
          <w:sz w:val="24"/>
          <w:szCs w:val="24"/>
        </w:rPr>
        <w:t xml:space="preserve"> the </w:t>
      </w:r>
      <w:r w:rsidR="0074179F">
        <w:rPr>
          <w:sz w:val="24"/>
          <w:szCs w:val="24"/>
        </w:rPr>
        <w:t xml:space="preserve">long term </w:t>
      </w:r>
      <w:r w:rsidR="00EF77AB">
        <w:rPr>
          <w:sz w:val="24"/>
          <w:szCs w:val="24"/>
        </w:rPr>
        <w:t xml:space="preserve">trend for SAV abundance in the Bay is an increase in acreage, the setting of a </w:t>
      </w:r>
      <w:r w:rsidR="007E70B0">
        <w:rPr>
          <w:sz w:val="24"/>
          <w:szCs w:val="24"/>
        </w:rPr>
        <w:t>2025 target</w:t>
      </w:r>
      <w:r w:rsidR="00EF77AB">
        <w:rPr>
          <w:sz w:val="24"/>
          <w:szCs w:val="24"/>
        </w:rPr>
        <w:t xml:space="preserve"> should be tempered by the knowledge that stochastic events </w:t>
      </w:r>
      <w:r w:rsidR="0074179F">
        <w:rPr>
          <w:sz w:val="24"/>
          <w:szCs w:val="24"/>
        </w:rPr>
        <w:t xml:space="preserve">such as storm events </w:t>
      </w:r>
      <w:r w:rsidR="00EF77AB">
        <w:rPr>
          <w:sz w:val="24"/>
          <w:szCs w:val="24"/>
        </w:rPr>
        <w:t xml:space="preserve">can significantly lower that acreage </w:t>
      </w:r>
      <w:r w:rsidR="0074179F">
        <w:rPr>
          <w:sz w:val="24"/>
          <w:szCs w:val="24"/>
        </w:rPr>
        <w:t>with</w:t>
      </w:r>
      <w:r w:rsidR="00EF77AB">
        <w:rPr>
          <w:sz w:val="24"/>
          <w:szCs w:val="24"/>
        </w:rPr>
        <w:t>in a short time period.</w:t>
      </w:r>
      <w:r w:rsidR="003205CE">
        <w:rPr>
          <w:sz w:val="24"/>
          <w:szCs w:val="24"/>
        </w:rPr>
        <w:t xml:space="preserve"> </w:t>
      </w:r>
      <w:r w:rsidR="0074179F">
        <w:rPr>
          <w:sz w:val="24"/>
          <w:szCs w:val="24"/>
        </w:rPr>
        <w:t>Also, i</w:t>
      </w:r>
      <w:r w:rsidR="003205CE">
        <w:rPr>
          <w:sz w:val="24"/>
          <w:szCs w:val="24"/>
        </w:rPr>
        <w:t>t should be noted that the four segments with the highest restoration goals have shown an aggregated downward trend, denoting long term problems in those high SAV volume segments</w:t>
      </w:r>
      <w:r w:rsidR="00284EEC">
        <w:rPr>
          <w:sz w:val="24"/>
          <w:szCs w:val="24"/>
        </w:rPr>
        <w:t xml:space="preserve"> (Figures 3 and 4)</w:t>
      </w:r>
      <w:r w:rsidR="003205CE">
        <w:rPr>
          <w:sz w:val="24"/>
          <w:szCs w:val="24"/>
        </w:rPr>
        <w:t>.</w:t>
      </w:r>
    </w:p>
    <w:p w:rsidR="003205CE" w:rsidRDefault="003205CE" w:rsidP="006758E0">
      <w:r w:rsidRPr="003205CE">
        <w:rPr>
          <w:noProof/>
        </w:rPr>
        <w:lastRenderedPageBreak/>
        <w:drawing>
          <wp:inline distT="0" distB="0" distL="0" distR="0">
            <wp:extent cx="5943600" cy="2466975"/>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05CE" w:rsidRPr="00284EEC" w:rsidRDefault="00284EEC" w:rsidP="006758E0">
      <w:pPr>
        <w:rPr>
          <w:b/>
        </w:rPr>
      </w:pPr>
      <w:proofErr w:type="gramStart"/>
      <w:r w:rsidRPr="00284EEC">
        <w:rPr>
          <w:b/>
        </w:rPr>
        <w:t>Figure 3.</w:t>
      </w:r>
      <w:proofErr w:type="gramEnd"/>
    </w:p>
    <w:p w:rsidR="00284EEC" w:rsidRDefault="00284EEC" w:rsidP="006758E0">
      <w:r w:rsidRPr="00284EEC">
        <w:rPr>
          <w:noProof/>
        </w:rPr>
        <w:drawing>
          <wp:inline distT="0" distB="0" distL="0" distR="0">
            <wp:extent cx="5943600" cy="2488565"/>
            <wp:effectExtent l="19050" t="0" r="1905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84EEC" w:rsidRPr="00284EEC" w:rsidRDefault="00284EEC" w:rsidP="006758E0">
      <w:pPr>
        <w:rPr>
          <w:b/>
        </w:rPr>
      </w:pPr>
      <w:proofErr w:type="gramStart"/>
      <w:r w:rsidRPr="00284EEC">
        <w:rPr>
          <w:b/>
        </w:rPr>
        <w:t>Figure 4.</w:t>
      </w:r>
      <w:proofErr w:type="gramEnd"/>
    </w:p>
    <w:p w:rsidR="00284EEC" w:rsidRDefault="00284EEC" w:rsidP="00951274">
      <w:r>
        <w:t xml:space="preserve">Based on the above described graphical analyses, it was determined the best means for estimating SAV acreages as a percentage of the ultimate </w:t>
      </w:r>
      <w:proofErr w:type="spellStart"/>
      <w:r>
        <w:t>baywide</w:t>
      </w:r>
      <w:proofErr w:type="spellEnd"/>
      <w:r>
        <w:t xml:space="preserve"> SAV restoration goal would be </w:t>
      </w:r>
      <w:r w:rsidR="00E002F3">
        <w:t>calculating the single best year of SAV acreage for each of the 92 Chesapeake Bay segments during the 1984-2012 time period.  This is based on the rationale that continued nutrient and sediment reductions through 2025 should yield water clarity conditions across the Bay’s tidal waters that we have witnessed individually through time in each individual segment.</w:t>
      </w:r>
    </w:p>
    <w:p w:rsidR="00E002F3" w:rsidRDefault="003A3A5F" w:rsidP="00951274">
      <w:r>
        <w:t>When</w:t>
      </w:r>
      <w:r w:rsidR="00951274">
        <w:t xml:space="preserve"> the single best year of SAV </w:t>
      </w:r>
      <w:r w:rsidR="00EF77AB">
        <w:t xml:space="preserve">for each segment from 1984-2012 is taken, </w:t>
      </w:r>
      <w:r>
        <w:t xml:space="preserve">it amounts </w:t>
      </w:r>
      <w:r w:rsidR="00EF77AB">
        <w:t xml:space="preserve">to </w:t>
      </w:r>
      <w:r w:rsidR="00951274">
        <w:t>70.8% (131,0</w:t>
      </w:r>
      <w:r>
        <w:t>32 acres) of the 185,000 acre</w:t>
      </w:r>
      <w:r w:rsidR="00951274">
        <w:t xml:space="preserve"> restoration goal.</w:t>
      </w:r>
      <w:r w:rsidR="00EF77AB">
        <w:t xml:space="preserve"> If a 2025 target of 130,000 acres is set, assuming that if a segment achieved that maximum acreage at some point in the recent past it can do so again, that is a significant increase over the 48,190 acres of SAV surveyed Bay-wide in 2012</w:t>
      </w:r>
      <w:r>
        <w:t>.</w:t>
      </w:r>
      <w:r w:rsidR="00C301D7">
        <w:t xml:space="preserve"> </w:t>
      </w:r>
      <w:r w:rsidR="00E002F3">
        <w:t xml:space="preserve"> With the </w:t>
      </w:r>
      <w:r w:rsidR="00E002F3">
        <w:lastRenderedPageBreak/>
        <w:t xml:space="preserve">exception of the four biggest segments in terms of SAV restoration acreages (see Figure 3), majority of the other grouped segment were trends upwards from 1984 under the recent four to five years. </w:t>
      </w:r>
    </w:p>
    <w:p w:rsidR="00951274" w:rsidRDefault="00C301D7" w:rsidP="00951274">
      <w:r>
        <w:t xml:space="preserve">In </w:t>
      </w:r>
      <w:r w:rsidR="00E002F3">
        <w:t xml:space="preserve">follow up </w:t>
      </w:r>
      <w:r>
        <w:t xml:space="preserve">discussions with </w:t>
      </w:r>
      <w:r w:rsidR="00E002F3">
        <w:t xml:space="preserve">recognized </w:t>
      </w:r>
      <w:r>
        <w:t xml:space="preserve">SAV experts from Maryland </w:t>
      </w:r>
      <w:r w:rsidR="00E002F3">
        <w:t xml:space="preserve">(e.g., Lee Karrh) </w:t>
      </w:r>
      <w:r>
        <w:t>and Virginia</w:t>
      </w:r>
      <w:r w:rsidR="00E002F3">
        <w:t xml:space="preserve"> (e.g., Bob Orth)</w:t>
      </w:r>
      <w:proofErr w:type="gramStart"/>
      <w:r>
        <w:t>,</w:t>
      </w:r>
      <w:proofErr w:type="gramEnd"/>
      <w:r>
        <w:t xml:space="preserve"> this seemed to be a reasonable target</w:t>
      </w:r>
      <w:r w:rsidR="00E002F3">
        <w:t xml:space="preserve"> for 2025.  Based on the above described analysis, </w:t>
      </w:r>
      <w:r>
        <w:t>an interim target of 90,000 acres (slightly exceeding 2009 levels</w:t>
      </w:r>
      <w:r w:rsidR="00E002F3">
        <w:t>, the time period when the recent declines started</w:t>
      </w:r>
      <w:r>
        <w:t xml:space="preserve">) by 2017 </w:t>
      </w:r>
      <w:r w:rsidR="00E002F3">
        <w:t xml:space="preserve">was </w:t>
      </w:r>
      <w:r>
        <w:t>also agreed upon.</w:t>
      </w:r>
    </w:p>
    <w:p w:rsidR="00EF77AB" w:rsidRDefault="00EF77AB" w:rsidP="00951274"/>
    <w:p w:rsidR="00EF77AB" w:rsidRDefault="00EF77AB" w:rsidP="00951274"/>
    <w:p w:rsidR="00EF77AB" w:rsidRDefault="00EF77AB" w:rsidP="00951274"/>
    <w:p w:rsidR="006758E0" w:rsidRDefault="006758E0"/>
    <w:sectPr w:rsidR="006758E0" w:rsidSect="00903EBB">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4BA" w:rsidRDefault="004C04BA" w:rsidP="009E5E5D">
      <w:pPr>
        <w:spacing w:after="0" w:line="240" w:lineRule="auto"/>
      </w:pPr>
      <w:r>
        <w:separator/>
      </w:r>
    </w:p>
  </w:endnote>
  <w:endnote w:type="continuationSeparator" w:id="0">
    <w:p w:rsidR="004C04BA" w:rsidRDefault="004C04BA" w:rsidP="009E5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97415"/>
      <w:docPartObj>
        <w:docPartGallery w:val="Page Numbers (Bottom of Page)"/>
        <w:docPartUnique/>
      </w:docPartObj>
    </w:sdtPr>
    <w:sdtContent>
      <w:p w:rsidR="00E002F3" w:rsidRDefault="00C2135B">
        <w:pPr>
          <w:pStyle w:val="Footer"/>
          <w:jc w:val="center"/>
        </w:pPr>
        <w:fldSimple w:instr=" PAGE   \* MERGEFORMAT ">
          <w:r w:rsidR="00CD1D31">
            <w:rPr>
              <w:noProof/>
            </w:rPr>
            <w:t>1</w:t>
          </w:r>
        </w:fldSimple>
      </w:p>
    </w:sdtContent>
  </w:sdt>
  <w:p w:rsidR="00E002F3" w:rsidRDefault="00E00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4BA" w:rsidRDefault="004C04BA" w:rsidP="009E5E5D">
      <w:pPr>
        <w:spacing w:after="0" w:line="240" w:lineRule="auto"/>
      </w:pPr>
      <w:r>
        <w:separator/>
      </w:r>
    </w:p>
  </w:footnote>
  <w:footnote w:type="continuationSeparator" w:id="0">
    <w:p w:rsidR="004C04BA" w:rsidRDefault="004C04BA" w:rsidP="009E5E5D">
      <w:pPr>
        <w:spacing w:after="0" w:line="240" w:lineRule="auto"/>
      </w:pPr>
      <w:r>
        <w:continuationSeparator/>
      </w:r>
    </w:p>
  </w:footnote>
  <w:footnote w:id="1">
    <w:p w:rsidR="00284EEC" w:rsidRDefault="00284EEC">
      <w:pPr>
        <w:pStyle w:val="FootnoteText"/>
      </w:pPr>
      <w:r>
        <w:rPr>
          <w:rStyle w:val="FootnoteReference"/>
        </w:rPr>
        <w:footnoteRef/>
      </w:r>
      <w:r>
        <w:t xml:space="preserve"> Written by Howard Weinberg, University of Maryland/Chesapeake Bay Program Office, </w:t>
      </w:r>
      <w:proofErr w:type="gramStart"/>
      <w:r>
        <w:t>Annapolis</w:t>
      </w:r>
      <w:proofErr w:type="gramEnd"/>
      <w:r>
        <w:t>, Maryland for the Chesapeake Bay Program Partnership’s Habitat Goal Implementation Team and SAV Workgroup.</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6758E0"/>
    <w:rsid w:val="0003215E"/>
    <w:rsid w:val="000A5D99"/>
    <w:rsid w:val="000A6612"/>
    <w:rsid w:val="00112F46"/>
    <w:rsid w:val="00117D58"/>
    <w:rsid w:val="00201D25"/>
    <w:rsid w:val="00284EEC"/>
    <w:rsid w:val="002B08AB"/>
    <w:rsid w:val="003205CE"/>
    <w:rsid w:val="003A3A5F"/>
    <w:rsid w:val="004C04BA"/>
    <w:rsid w:val="004F105E"/>
    <w:rsid w:val="006758E0"/>
    <w:rsid w:val="006D7D23"/>
    <w:rsid w:val="0074179F"/>
    <w:rsid w:val="00751D92"/>
    <w:rsid w:val="007553A3"/>
    <w:rsid w:val="00797271"/>
    <w:rsid w:val="007C6298"/>
    <w:rsid w:val="007E70B0"/>
    <w:rsid w:val="00800E2B"/>
    <w:rsid w:val="008A49B2"/>
    <w:rsid w:val="008E500B"/>
    <w:rsid w:val="00903EBB"/>
    <w:rsid w:val="00951274"/>
    <w:rsid w:val="009E5E5D"/>
    <w:rsid w:val="00B71D8E"/>
    <w:rsid w:val="00B74458"/>
    <w:rsid w:val="00BE15CF"/>
    <w:rsid w:val="00C2135B"/>
    <w:rsid w:val="00C2743B"/>
    <w:rsid w:val="00C301D7"/>
    <w:rsid w:val="00CD1D31"/>
    <w:rsid w:val="00D22154"/>
    <w:rsid w:val="00D37872"/>
    <w:rsid w:val="00DA339F"/>
    <w:rsid w:val="00E002F3"/>
    <w:rsid w:val="00EF7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9B2"/>
    <w:rPr>
      <w:rFonts w:ascii="Tahoma" w:hAnsi="Tahoma" w:cs="Tahoma"/>
      <w:sz w:val="16"/>
      <w:szCs w:val="16"/>
    </w:rPr>
  </w:style>
  <w:style w:type="paragraph" w:styleId="FootnoteText">
    <w:name w:val="footnote text"/>
    <w:basedOn w:val="Normal"/>
    <w:link w:val="FootnoteTextChar"/>
    <w:uiPriority w:val="99"/>
    <w:semiHidden/>
    <w:unhideWhenUsed/>
    <w:rsid w:val="009E5E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E5D"/>
    <w:rPr>
      <w:sz w:val="20"/>
      <w:szCs w:val="20"/>
    </w:rPr>
  </w:style>
  <w:style w:type="character" w:styleId="FootnoteReference">
    <w:name w:val="footnote reference"/>
    <w:basedOn w:val="DefaultParagraphFont"/>
    <w:uiPriority w:val="99"/>
    <w:semiHidden/>
    <w:unhideWhenUsed/>
    <w:rsid w:val="009E5E5D"/>
    <w:rPr>
      <w:vertAlign w:val="superscript"/>
    </w:rPr>
  </w:style>
  <w:style w:type="paragraph" w:styleId="Header">
    <w:name w:val="header"/>
    <w:basedOn w:val="Normal"/>
    <w:link w:val="HeaderChar"/>
    <w:uiPriority w:val="99"/>
    <w:semiHidden/>
    <w:unhideWhenUsed/>
    <w:rsid w:val="00E00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2F3"/>
  </w:style>
  <w:style w:type="paragraph" w:styleId="Footer">
    <w:name w:val="footer"/>
    <w:basedOn w:val="Normal"/>
    <w:link w:val="FooterChar"/>
    <w:uiPriority w:val="99"/>
    <w:unhideWhenUsed/>
    <w:rsid w:val="00E00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2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10.0.1.48\WrkGrp\GIS\Working\sav\SAV%20Area%20by%20CBP%20Segment%20by%20State%20(1984-2011)%20v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0.1.48\WrkGrp\GIS\Working\sav\2025target\SAV%20Area%20by%20CBP%20Segment%20by%20State%20(1984-2011)%20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0.1.48\WrkGrp\GIS\Working\sav\2025target\SAV%20Area%20by%20CBP%20Segment%20by%20State%20(1984-2011)%20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0.1.48\WrkGrp\GIS\Working\sav\2025target\SAV%20Area%20by%20CBP%20Segment%20by%20State%20(1984-2011)%20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0.1.48\WrkGrp\GIS\Working\sav\2025target\SAV%20Area%20by%20CBP%20Segment%20by%20State%20(1984-2011)%20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HNGMH</a:t>
            </a:r>
          </a:p>
        </c:rich>
      </c:tx>
    </c:title>
    <c:plotArea>
      <c:layout/>
      <c:lineChart>
        <c:grouping val="standard"/>
        <c:ser>
          <c:idx val="1"/>
          <c:order val="0"/>
          <c:tx>
            <c:strRef>
              <c:f>ChartSheet!$B$70</c:f>
              <c:strCache>
                <c:ptCount val="1"/>
                <c:pt idx="0">
                  <c:v>SAV (hectares)</c:v>
                </c:pt>
              </c:strCache>
            </c:strRef>
          </c:tx>
          <c:marker>
            <c:symbol val="none"/>
          </c:marker>
          <c:trendline>
            <c:name>SAV Linear Trend</c:name>
            <c:spPr>
              <a:ln w="19050">
                <a:solidFill>
                  <a:srgbClr val="00B0F0"/>
                </a:solidFill>
                <a:prstDash val="sysDot"/>
              </a:ln>
            </c:spPr>
            <c:trendlineType val="linear"/>
          </c:trendline>
          <c:cat>
            <c:numRef>
              <c:f>ChartSheet!$C$1:$AD$1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formatCode="0">
                  <c:v>2012</c:v>
                </c:pt>
              </c:numCache>
            </c:numRef>
          </c:cat>
          <c:val>
            <c:numRef>
              <c:f>ChartSheet!$C$70:$AD$70</c:f>
              <c:numCache>
                <c:formatCode>General</c:formatCode>
                <c:ptCount val="28"/>
                <c:pt idx="0">
                  <c:v>13.42</c:v>
                </c:pt>
                <c:pt idx="1">
                  <c:v>317.20999999999964</c:v>
                </c:pt>
                <c:pt idx="2">
                  <c:v>257.38</c:v>
                </c:pt>
                <c:pt idx="3">
                  <c:v>641.76</c:v>
                </c:pt>
                <c:pt idx="4">
                  <c:v>998.18000000000052</c:v>
                </c:pt>
                <c:pt idx="5">
                  <c:v>1167.9000000000001</c:v>
                </c:pt>
                <c:pt idx="6">
                  <c:v>1347.45</c:v>
                </c:pt>
                <c:pt idx="7">
                  <c:v>1534.55</c:v>
                </c:pt>
                <c:pt idx="8">
                  <c:v>1845.44</c:v>
                </c:pt>
                <c:pt idx="9">
                  <c:v>1391.43</c:v>
                </c:pt>
                <c:pt idx="10">
                  <c:v>895.67000000000053</c:v>
                </c:pt>
                <c:pt idx="11">
                  <c:v>623</c:v>
                </c:pt>
                <c:pt idx="12">
                  <c:v>890.51</c:v>
                </c:pt>
                <c:pt idx="13">
                  <c:v>316.37</c:v>
                </c:pt>
                <c:pt idx="14">
                  <c:v>774.49</c:v>
                </c:pt>
                <c:pt idx="15">
                  <c:v>1143.1899999999998</c:v>
                </c:pt>
                <c:pt idx="16">
                  <c:v>2002.85</c:v>
                </c:pt>
                <c:pt idx="17">
                  <c:v>2558.7199999999998</c:v>
                </c:pt>
                <c:pt idx="18">
                  <c:v>1150.3499999999999</c:v>
                </c:pt>
                <c:pt idx="19">
                  <c:v>1388.46</c:v>
                </c:pt>
                <c:pt idx="20">
                  <c:v>1771</c:v>
                </c:pt>
                <c:pt idx="21">
                  <c:v>847.69</c:v>
                </c:pt>
                <c:pt idx="22">
                  <c:v>806.42</c:v>
                </c:pt>
                <c:pt idx="23">
                  <c:v>1604.42</c:v>
                </c:pt>
                <c:pt idx="24">
                  <c:v>1991.8799999999999</c:v>
                </c:pt>
                <c:pt idx="25">
                  <c:v>880.1</c:v>
                </c:pt>
                <c:pt idx="26" formatCode="#,##0.00">
                  <c:v>1049.1399999999999</c:v>
                </c:pt>
                <c:pt idx="27">
                  <c:v>972.79000000000053</c:v>
                </c:pt>
              </c:numCache>
            </c:numRef>
          </c:val>
          <c:bubble3D val="1"/>
        </c:ser>
        <c:ser>
          <c:idx val="0"/>
          <c:order val="1"/>
          <c:tx>
            <c:strRef>
              <c:f>ChartSheet!$B$71</c:f>
              <c:strCache>
                <c:ptCount val="1"/>
                <c:pt idx="0">
                  <c:v>Restoration Goal</c:v>
                </c:pt>
              </c:strCache>
            </c:strRef>
          </c:tx>
          <c:spPr>
            <a:ln>
              <a:solidFill>
                <a:srgbClr val="00B050"/>
              </a:solidFill>
            </a:ln>
          </c:spPr>
          <c:marker>
            <c:symbol val="none"/>
          </c:marker>
          <c:cat>
            <c:numRef>
              <c:f>ChartSheet!$C$1:$AD$1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formatCode="0">
                  <c:v>2012</c:v>
                </c:pt>
              </c:numCache>
            </c:numRef>
          </c:cat>
          <c:val>
            <c:numRef>
              <c:f>ChartSheet!$C$71:$AD$71</c:f>
              <c:numCache>
                <c:formatCode>General</c:formatCode>
                <c:ptCount val="28"/>
                <c:pt idx="0">
                  <c:v>3141</c:v>
                </c:pt>
                <c:pt idx="1">
                  <c:v>3141</c:v>
                </c:pt>
                <c:pt idx="2">
                  <c:v>3141</c:v>
                </c:pt>
                <c:pt idx="3">
                  <c:v>3141</c:v>
                </c:pt>
                <c:pt idx="4">
                  <c:v>3141</c:v>
                </c:pt>
                <c:pt idx="5">
                  <c:v>3141</c:v>
                </c:pt>
                <c:pt idx="6">
                  <c:v>3141</c:v>
                </c:pt>
                <c:pt idx="7">
                  <c:v>3141</c:v>
                </c:pt>
                <c:pt idx="8">
                  <c:v>3141</c:v>
                </c:pt>
                <c:pt idx="9">
                  <c:v>3141</c:v>
                </c:pt>
                <c:pt idx="10">
                  <c:v>3141</c:v>
                </c:pt>
                <c:pt idx="11">
                  <c:v>3141</c:v>
                </c:pt>
                <c:pt idx="12">
                  <c:v>3141</c:v>
                </c:pt>
                <c:pt idx="13">
                  <c:v>3141</c:v>
                </c:pt>
                <c:pt idx="14">
                  <c:v>3141</c:v>
                </c:pt>
                <c:pt idx="15">
                  <c:v>3141</c:v>
                </c:pt>
                <c:pt idx="16">
                  <c:v>3141</c:v>
                </c:pt>
                <c:pt idx="17">
                  <c:v>3141</c:v>
                </c:pt>
                <c:pt idx="18">
                  <c:v>3141</c:v>
                </c:pt>
                <c:pt idx="19">
                  <c:v>3141</c:v>
                </c:pt>
                <c:pt idx="20">
                  <c:v>3141</c:v>
                </c:pt>
                <c:pt idx="21">
                  <c:v>3141</c:v>
                </c:pt>
                <c:pt idx="22">
                  <c:v>3141</c:v>
                </c:pt>
                <c:pt idx="23">
                  <c:v>3141</c:v>
                </c:pt>
                <c:pt idx="24">
                  <c:v>3141</c:v>
                </c:pt>
                <c:pt idx="25">
                  <c:v>3141</c:v>
                </c:pt>
                <c:pt idx="26">
                  <c:v>3141</c:v>
                </c:pt>
                <c:pt idx="27">
                  <c:v>3141</c:v>
                </c:pt>
              </c:numCache>
            </c:numRef>
          </c:val>
          <c:bubble3D val="1"/>
        </c:ser>
        <c:marker val="1"/>
        <c:axId val="105514496"/>
        <c:axId val="105516032"/>
      </c:lineChart>
      <c:dateAx>
        <c:axId val="105514496"/>
        <c:scaling>
          <c:orientation val="minMax"/>
        </c:scaling>
        <c:axPos val="b"/>
        <c:minorGridlines>
          <c:spPr>
            <a:ln>
              <a:solidFill>
                <a:srgbClr val="4F81BD">
                  <a:alpha val="0"/>
                </a:srgbClr>
              </a:solidFill>
            </a:ln>
          </c:spPr>
        </c:minorGridlines>
        <c:numFmt formatCode="General" sourceLinked="1"/>
        <c:minorTickMark val="in"/>
        <c:tickLblPos val="nextTo"/>
        <c:crossAx val="105516032"/>
        <c:crosses val="autoZero"/>
        <c:lblOffset val="100"/>
        <c:baseTimeUnit val="days"/>
      </c:dateAx>
      <c:valAx>
        <c:axId val="105516032"/>
        <c:scaling>
          <c:orientation val="minMax"/>
          <c:min val="0"/>
        </c:scaling>
        <c:axPos val="l"/>
        <c:majorGridlines/>
        <c:numFmt formatCode="General" sourceLinked="1"/>
        <c:majorTickMark val="none"/>
        <c:tickLblPos val="nextTo"/>
        <c:crossAx val="10551449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1" i="0" baseline="0"/>
              <a:t>Tidal Fresh (TF) segments</a:t>
            </a:r>
            <a:endParaRPr lang="en-US"/>
          </a:p>
        </c:rich>
      </c:tx>
    </c:title>
    <c:plotArea>
      <c:layout/>
      <c:lineChart>
        <c:grouping val="standard"/>
        <c:ser>
          <c:idx val="0"/>
          <c:order val="0"/>
          <c:tx>
            <c:strRef>
              <c:f>ChartSheetTF!$A$2</c:f>
              <c:strCache>
                <c:ptCount val="1"/>
                <c:pt idx="0">
                  <c:v>CB1TF1</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ChartSheetTF!$B$2:$AC$2</c:f>
              <c:numCache>
                <c:formatCode>General</c:formatCode>
                <c:ptCount val="28"/>
                <c:pt idx="0">
                  <c:v>7.3</c:v>
                </c:pt>
                <c:pt idx="1">
                  <c:v>17.27</c:v>
                </c:pt>
                <c:pt idx="2">
                  <c:v>3.23</c:v>
                </c:pt>
                <c:pt idx="3">
                  <c:v>3.3099999999999987</c:v>
                </c:pt>
                <c:pt idx="4">
                  <c:v>4.2699999999999996</c:v>
                </c:pt>
                <c:pt idx="5">
                  <c:v>12.08</c:v>
                </c:pt>
                <c:pt idx="6">
                  <c:v>35.42</c:v>
                </c:pt>
                <c:pt idx="7">
                  <c:v>29.23</c:v>
                </c:pt>
                <c:pt idx="8">
                  <c:v>44.220000000000013</c:v>
                </c:pt>
                <c:pt idx="9">
                  <c:v>120.33</c:v>
                </c:pt>
                <c:pt idx="10">
                  <c:v>143.72999999999999</c:v>
                </c:pt>
                <c:pt idx="11">
                  <c:v>130.76</c:v>
                </c:pt>
                <c:pt idx="12">
                  <c:v>142.34</c:v>
                </c:pt>
                <c:pt idx="13">
                  <c:v>145.43</c:v>
                </c:pt>
                <c:pt idx="14">
                  <c:v>70.81</c:v>
                </c:pt>
                <c:pt idx="15">
                  <c:v>188.92000000000004</c:v>
                </c:pt>
                <c:pt idx="16">
                  <c:v>231.15</c:v>
                </c:pt>
                <c:pt idx="17">
                  <c:v>258.7</c:v>
                </c:pt>
                <c:pt idx="18">
                  <c:v>228.69</c:v>
                </c:pt>
                <c:pt idx="19">
                  <c:v>252.08</c:v>
                </c:pt>
                <c:pt idx="20">
                  <c:v>300.64999999999998</c:v>
                </c:pt>
                <c:pt idx="21">
                  <c:v>245.58</c:v>
                </c:pt>
                <c:pt idx="22">
                  <c:v>337.4299999999995</c:v>
                </c:pt>
                <c:pt idx="23">
                  <c:v>407.63</c:v>
                </c:pt>
                <c:pt idx="24">
                  <c:v>436.58</c:v>
                </c:pt>
                <c:pt idx="25">
                  <c:v>342.34000000000032</c:v>
                </c:pt>
                <c:pt idx="26">
                  <c:v>201.09</c:v>
                </c:pt>
                <c:pt idx="27">
                  <c:v>186.51</c:v>
                </c:pt>
              </c:numCache>
            </c:numRef>
          </c:val>
        </c:ser>
        <c:ser>
          <c:idx val="1"/>
          <c:order val="1"/>
          <c:tx>
            <c:v>CB1TF2</c:v>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ChartSheetTF!$B$3:$AC$3</c:f>
              <c:numCache>
                <c:formatCode>General</c:formatCode>
                <c:ptCount val="28"/>
                <c:pt idx="0">
                  <c:v>2169.9899999999998</c:v>
                </c:pt>
                <c:pt idx="1">
                  <c:v>2039.12</c:v>
                </c:pt>
                <c:pt idx="2">
                  <c:v>2349.16</c:v>
                </c:pt>
                <c:pt idx="3">
                  <c:v>2216.9699999999998</c:v>
                </c:pt>
                <c:pt idx="4">
                  <c:v>1944.87</c:v>
                </c:pt>
                <c:pt idx="5">
                  <c:v>1772.97</c:v>
                </c:pt>
                <c:pt idx="6">
                  <c:v>1673.44</c:v>
                </c:pt>
                <c:pt idx="7">
                  <c:v>1767.82</c:v>
                </c:pt>
                <c:pt idx="8">
                  <c:v>1749.1699999999998</c:v>
                </c:pt>
                <c:pt idx="9">
                  <c:v>2590.5100000000002</c:v>
                </c:pt>
                <c:pt idx="10">
                  <c:v>1952.9</c:v>
                </c:pt>
                <c:pt idx="11">
                  <c:v>2016.01</c:v>
                </c:pt>
                <c:pt idx="12">
                  <c:v>2347.65</c:v>
                </c:pt>
                <c:pt idx="13">
                  <c:v>2164.64</c:v>
                </c:pt>
                <c:pt idx="14">
                  <c:v>2525.5700000000002</c:v>
                </c:pt>
                <c:pt idx="15">
                  <c:v>2954.57</c:v>
                </c:pt>
                <c:pt idx="16">
                  <c:v>2999.3100000000022</c:v>
                </c:pt>
                <c:pt idx="17">
                  <c:v>3475.38</c:v>
                </c:pt>
                <c:pt idx="18">
                  <c:v>2834.3300000000022</c:v>
                </c:pt>
                <c:pt idx="19">
                  <c:v>3836.75</c:v>
                </c:pt>
                <c:pt idx="20">
                  <c:v>3419.38</c:v>
                </c:pt>
                <c:pt idx="21">
                  <c:v>3538.09</c:v>
                </c:pt>
                <c:pt idx="22">
                  <c:v>4745.17</c:v>
                </c:pt>
                <c:pt idx="23">
                  <c:v>5743.91</c:v>
                </c:pt>
                <c:pt idx="24">
                  <c:v>5739.33</c:v>
                </c:pt>
                <c:pt idx="25" formatCode="#,##0.00">
                  <c:v>5371.1900000000014</c:v>
                </c:pt>
                <c:pt idx="26" formatCode="#,##0.00">
                  <c:v>3431.4</c:v>
                </c:pt>
                <c:pt idx="27">
                  <c:v>2437.75</c:v>
                </c:pt>
              </c:numCache>
            </c:numRef>
          </c:val>
        </c:ser>
        <c:ser>
          <c:idx val="2"/>
          <c:order val="2"/>
          <c:tx>
            <c:strRef>
              <c:f>ChartSheetTF!$A$4</c:f>
              <c:strCache>
                <c:ptCount val="1"/>
                <c:pt idx="0">
                  <c:v>NORTF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ChartSheetTF!$B$4:$Z$4</c:f>
              <c:numCache>
                <c:formatCode>General</c:formatCode>
                <c:ptCount val="25"/>
                <c:pt idx="0">
                  <c:v>0</c:v>
                </c:pt>
                <c:pt idx="1">
                  <c:v>0</c:v>
                </c:pt>
                <c:pt idx="2">
                  <c:v>2.0099999999999998</c:v>
                </c:pt>
                <c:pt idx="3">
                  <c:v>0.34</c:v>
                </c:pt>
                <c:pt idx="4">
                  <c:v>0</c:v>
                </c:pt>
                <c:pt idx="5">
                  <c:v>0</c:v>
                </c:pt>
                <c:pt idx="6">
                  <c:v>0</c:v>
                </c:pt>
                <c:pt idx="7">
                  <c:v>0</c:v>
                </c:pt>
                <c:pt idx="8">
                  <c:v>0</c:v>
                </c:pt>
                <c:pt idx="9">
                  <c:v>7.96</c:v>
                </c:pt>
                <c:pt idx="10">
                  <c:v>6.8599999999999985</c:v>
                </c:pt>
                <c:pt idx="11">
                  <c:v>5.3</c:v>
                </c:pt>
                <c:pt idx="12">
                  <c:v>4.9800000000000004</c:v>
                </c:pt>
                <c:pt idx="13">
                  <c:v>9.9500000000000028</c:v>
                </c:pt>
                <c:pt idx="14">
                  <c:v>5.75</c:v>
                </c:pt>
                <c:pt idx="15">
                  <c:v>9.43</c:v>
                </c:pt>
                <c:pt idx="16">
                  <c:v>0</c:v>
                </c:pt>
                <c:pt idx="17">
                  <c:v>30.75</c:v>
                </c:pt>
                <c:pt idx="18">
                  <c:v>18.630000000000027</c:v>
                </c:pt>
                <c:pt idx="19">
                  <c:v>34.06</c:v>
                </c:pt>
                <c:pt idx="20">
                  <c:v>31.72</c:v>
                </c:pt>
                <c:pt idx="21">
                  <c:v>53.6</c:v>
                </c:pt>
                <c:pt idx="22">
                  <c:v>46.56</c:v>
                </c:pt>
                <c:pt idx="23">
                  <c:v>73.940000000000026</c:v>
                </c:pt>
                <c:pt idx="24">
                  <c:v>97.179999999999978</c:v>
                </c:pt>
              </c:numCache>
            </c:numRef>
          </c:val>
        </c:ser>
        <c:ser>
          <c:idx val="3"/>
          <c:order val="3"/>
          <c:tx>
            <c:strRef>
              <c:f>ChartSheetTF!$A$5</c:f>
              <c:strCache>
                <c:ptCount val="1"/>
                <c:pt idx="0">
                  <c:v>CHSTF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ChartSheetTF!$B$5:$Z$5</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0.39000000000000051</c:v>
                </c:pt>
                <c:pt idx="21">
                  <c:v>0</c:v>
                </c:pt>
                <c:pt idx="22">
                  <c:v>0</c:v>
                </c:pt>
                <c:pt idx="23">
                  <c:v>0</c:v>
                </c:pt>
                <c:pt idx="24">
                  <c:v>0</c:v>
                </c:pt>
              </c:numCache>
            </c:numRef>
          </c:val>
        </c:ser>
        <c:ser>
          <c:idx val="4"/>
          <c:order val="4"/>
          <c:tx>
            <c:strRef>
              <c:f>ChartSheetTF!$A$6</c:f>
              <c:strCache>
                <c:ptCount val="1"/>
                <c:pt idx="0">
                  <c:v>CHOTF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ChartSheetTF!$B$6:$Z$6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5"/>
          <c:order val="5"/>
          <c:tx>
            <c:strRef>
              <c:f>ChartSheetTF!$A$7</c:f>
              <c:strCache>
                <c:ptCount val="1"/>
                <c:pt idx="0">
                  <c:v>NANTF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ChartSheetTF!$B$7:$Z$7</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6"/>
          <c:order val="6"/>
          <c:tx>
            <c:strRef>
              <c:f>ChartSheetTF!$A$8</c:f>
              <c:strCache>
                <c:ptCount val="1"/>
                <c:pt idx="0">
                  <c:v>POCTF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ChartSheetTF!$B$8:$Z$8</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7"/>
          <c:order val="7"/>
          <c:tx>
            <c:strRef>
              <c:f>ChartSheetTF!$A$9</c:f>
              <c:strCache>
                <c:ptCount val="1"/>
                <c:pt idx="0">
                  <c:v>PAXTF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ChartSheetTF!$B$9:$Z$9</c:f>
              <c:numCache>
                <c:formatCode>General</c:formatCode>
                <c:ptCount val="25"/>
                <c:pt idx="0">
                  <c:v>0</c:v>
                </c:pt>
                <c:pt idx="1">
                  <c:v>5.64</c:v>
                </c:pt>
                <c:pt idx="2">
                  <c:v>0</c:v>
                </c:pt>
                <c:pt idx="3">
                  <c:v>0</c:v>
                </c:pt>
                <c:pt idx="4">
                  <c:v>0</c:v>
                </c:pt>
                <c:pt idx="5">
                  <c:v>0</c:v>
                </c:pt>
                <c:pt idx="6">
                  <c:v>0</c:v>
                </c:pt>
                <c:pt idx="7">
                  <c:v>0</c:v>
                </c:pt>
                <c:pt idx="8">
                  <c:v>8.7800000000000011</c:v>
                </c:pt>
                <c:pt idx="9">
                  <c:v>53.730000000000011</c:v>
                </c:pt>
                <c:pt idx="10">
                  <c:v>45.2</c:v>
                </c:pt>
                <c:pt idx="11">
                  <c:v>63.93</c:v>
                </c:pt>
                <c:pt idx="12">
                  <c:v>53.160000000000011</c:v>
                </c:pt>
                <c:pt idx="13">
                  <c:v>61.3</c:v>
                </c:pt>
                <c:pt idx="14">
                  <c:v>0</c:v>
                </c:pt>
                <c:pt idx="15">
                  <c:v>37.300000000000004</c:v>
                </c:pt>
                <c:pt idx="16">
                  <c:v>83.04</c:v>
                </c:pt>
                <c:pt idx="17">
                  <c:v>69.069999999999993</c:v>
                </c:pt>
                <c:pt idx="18">
                  <c:v>87.81</c:v>
                </c:pt>
                <c:pt idx="19">
                  <c:v>88.940000000000026</c:v>
                </c:pt>
                <c:pt idx="20">
                  <c:v>131.28</c:v>
                </c:pt>
                <c:pt idx="21">
                  <c:v>82.75</c:v>
                </c:pt>
                <c:pt idx="22">
                  <c:v>47.01</c:v>
                </c:pt>
                <c:pt idx="23">
                  <c:v>53.28</c:v>
                </c:pt>
                <c:pt idx="24">
                  <c:v>66.38</c:v>
                </c:pt>
              </c:numCache>
            </c:numRef>
          </c:val>
        </c:ser>
        <c:ser>
          <c:idx val="8"/>
          <c:order val="8"/>
          <c:tx>
            <c:strRef>
              <c:f>ChartSheetTF!$A$10</c:f>
              <c:strCache>
                <c:ptCount val="1"/>
                <c:pt idx="0">
                  <c:v>WBRTF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ChartSheetTF!$B$10:$Z$10</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6.0000000000000032E-2</c:v>
                </c:pt>
                <c:pt idx="21">
                  <c:v>3.0000000000000002E-2</c:v>
                </c:pt>
                <c:pt idx="22">
                  <c:v>1.0000000000000005E-2</c:v>
                </c:pt>
                <c:pt idx="23">
                  <c:v>0</c:v>
                </c:pt>
                <c:pt idx="24">
                  <c:v>0</c:v>
                </c:pt>
              </c:numCache>
            </c:numRef>
          </c:val>
        </c:ser>
        <c:ser>
          <c:idx val="9"/>
          <c:order val="9"/>
          <c:tx>
            <c:strRef>
              <c:f>ChartSheetTF!$A$11</c:f>
              <c:strCache>
                <c:ptCount val="1"/>
                <c:pt idx="0">
                  <c:v>POTTF DC</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ChartSheetTF!$B$11:$AC$11</c:f>
              <c:numCache>
                <c:formatCode>General</c:formatCode>
                <c:ptCount val="28"/>
                <c:pt idx="0">
                  <c:v>0.23</c:v>
                </c:pt>
                <c:pt idx="1">
                  <c:v>65.599999999999994</c:v>
                </c:pt>
                <c:pt idx="2">
                  <c:v>74.39</c:v>
                </c:pt>
                <c:pt idx="3">
                  <c:v>58.28</c:v>
                </c:pt>
                <c:pt idx="4">
                  <c:v>83.4</c:v>
                </c:pt>
                <c:pt idx="5">
                  <c:v>120.42</c:v>
                </c:pt>
                <c:pt idx="6">
                  <c:v>157.23999999999998</c:v>
                </c:pt>
                <c:pt idx="7">
                  <c:v>166.75</c:v>
                </c:pt>
                <c:pt idx="8">
                  <c:v>252.66</c:v>
                </c:pt>
                <c:pt idx="9">
                  <c:v>201.58</c:v>
                </c:pt>
                <c:pt idx="10">
                  <c:v>221.03</c:v>
                </c:pt>
                <c:pt idx="11">
                  <c:v>98.07</c:v>
                </c:pt>
                <c:pt idx="12">
                  <c:v>97.940000000000026</c:v>
                </c:pt>
                <c:pt idx="13">
                  <c:v>177.31</c:v>
                </c:pt>
                <c:pt idx="14">
                  <c:v>317.37</c:v>
                </c:pt>
                <c:pt idx="15">
                  <c:v>424.4299999999995</c:v>
                </c:pt>
                <c:pt idx="16">
                  <c:v>249.33</c:v>
                </c:pt>
                <c:pt idx="17">
                  <c:v>225.62</c:v>
                </c:pt>
                <c:pt idx="18">
                  <c:v>0</c:v>
                </c:pt>
                <c:pt idx="19">
                  <c:v>0</c:v>
                </c:pt>
                <c:pt idx="20">
                  <c:v>48.15</c:v>
                </c:pt>
                <c:pt idx="21">
                  <c:v>3.96</c:v>
                </c:pt>
                <c:pt idx="22">
                  <c:v>82.38</c:v>
                </c:pt>
                <c:pt idx="23">
                  <c:v>98.34</c:v>
                </c:pt>
                <c:pt idx="24">
                  <c:v>25.93</c:v>
                </c:pt>
                <c:pt idx="25">
                  <c:v>24.73</c:v>
                </c:pt>
                <c:pt idx="27">
                  <c:v>20.34</c:v>
                </c:pt>
              </c:numCache>
            </c:numRef>
          </c:val>
        </c:ser>
        <c:ser>
          <c:idx val="10"/>
          <c:order val="10"/>
          <c:tx>
            <c:strRef>
              <c:f>ChartSheetTF!$A$12</c:f>
              <c:strCache>
                <c:ptCount val="1"/>
                <c:pt idx="0">
                  <c:v>POTTF MD</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ChartSheetTF!$B$12:$AC$12</c:f>
              <c:numCache>
                <c:formatCode>General</c:formatCode>
                <c:ptCount val="28"/>
                <c:pt idx="0">
                  <c:v>391.53</c:v>
                </c:pt>
                <c:pt idx="1">
                  <c:v>759.1</c:v>
                </c:pt>
                <c:pt idx="2">
                  <c:v>893.11</c:v>
                </c:pt>
                <c:pt idx="3">
                  <c:v>876.28000000000054</c:v>
                </c:pt>
                <c:pt idx="4">
                  <c:v>659.47</c:v>
                </c:pt>
                <c:pt idx="5">
                  <c:v>750.53</c:v>
                </c:pt>
                <c:pt idx="6">
                  <c:v>878.89</c:v>
                </c:pt>
                <c:pt idx="7">
                  <c:v>729.22</c:v>
                </c:pt>
                <c:pt idx="8">
                  <c:v>686.77000000000055</c:v>
                </c:pt>
                <c:pt idx="9">
                  <c:v>465.83</c:v>
                </c:pt>
                <c:pt idx="10">
                  <c:v>204.16</c:v>
                </c:pt>
                <c:pt idx="11">
                  <c:v>216.98000000000022</c:v>
                </c:pt>
                <c:pt idx="12">
                  <c:v>190.22</c:v>
                </c:pt>
                <c:pt idx="13">
                  <c:v>548.58000000000004</c:v>
                </c:pt>
                <c:pt idx="14">
                  <c:v>649.4</c:v>
                </c:pt>
                <c:pt idx="15">
                  <c:v>750.81</c:v>
                </c:pt>
                <c:pt idx="16">
                  <c:v>350.27</c:v>
                </c:pt>
                <c:pt idx="17">
                  <c:v>762.59</c:v>
                </c:pt>
                <c:pt idx="18">
                  <c:v>357.83</c:v>
                </c:pt>
                <c:pt idx="19">
                  <c:v>508.28999999999957</c:v>
                </c:pt>
                <c:pt idx="20">
                  <c:v>820.84999999999911</c:v>
                </c:pt>
                <c:pt idx="21">
                  <c:v>837.54</c:v>
                </c:pt>
                <c:pt idx="22">
                  <c:v>1141.4000000000001</c:v>
                </c:pt>
                <c:pt idx="23">
                  <c:v>1275.04</c:v>
                </c:pt>
                <c:pt idx="24">
                  <c:v>1181.99</c:v>
                </c:pt>
                <c:pt idx="25">
                  <c:v>762.41</c:v>
                </c:pt>
                <c:pt idx="26">
                  <c:v>189.42000000000004</c:v>
                </c:pt>
                <c:pt idx="27">
                  <c:v>351</c:v>
                </c:pt>
              </c:numCache>
            </c:numRef>
          </c:val>
        </c:ser>
        <c:ser>
          <c:idx val="11"/>
          <c:order val="11"/>
          <c:tx>
            <c:strRef>
              <c:f>ChartSheetTF!$A$13</c:f>
              <c:strCache>
                <c:ptCount val="1"/>
                <c:pt idx="0">
                  <c:v>POTTF VA</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ChartSheetTF!$B$13:$AC$13</c:f>
              <c:numCache>
                <c:formatCode>General</c:formatCode>
                <c:ptCount val="28"/>
                <c:pt idx="0">
                  <c:v>83.52</c:v>
                </c:pt>
                <c:pt idx="1">
                  <c:v>335.89</c:v>
                </c:pt>
                <c:pt idx="2">
                  <c:v>325.91999999999956</c:v>
                </c:pt>
                <c:pt idx="3">
                  <c:v>317.63</c:v>
                </c:pt>
                <c:pt idx="4">
                  <c:v>506.84000000000032</c:v>
                </c:pt>
                <c:pt idx="5">
                  <c:v>665.57</c:v>
                </c:pt>
                <c:pt idx="6">
                  <c:v>833.56</c:v>
                </c:pt>
                <c:pt idx="7">
                  <c:v>445.26</c:v>
                </c:pt>
                <c:pt idx="8">
                  <c:v>398.9</c:v>
                </c:pt>
                <c:pt idx="9">
                  <c:v>251.17</c:v>
                </c:pt>
                <c:pt idx="10">
                  <c:v>167.82000000000022</c:v>
                </c:pt>
                <c:pt idx="11">
                  <c:v>327.14999999999998</c:v>
                </c:pt>
                <c:pt idx="12">
                  <c:v>262.52999999999969</c:v>
                </c:pt>
                <c:pt idx="13">
                  <c:v>360.45</c:v>
                </c:pt>
                <c:pt idx="14">
                  <c:v>356.78</c:v>
                </c:pt>
                <c:pt idx="15">
                  <c:v>390.33</c:v>
                </c:pt>
                <c:pt idx="16">
                  <c:v>195.56</c:v>
                </c:pt>
                <c:pt idx="17">
                  <c:v>495.5</c:v>
                </c:pt>
                <c:pt idx="18">
                  <c:v>297.4899999999995</c:v>
                </c:pt>
                <c:pt idx="19">
                  <c:v>463.32</c:v>
                </c:pt>
                <c:pt idx="20">
                  <c:v>945.54</c:v>
                </c:pt>
                <c:pt idx="21">
                  <c:v>871.88</c:v>
                </c:pt>
                <c:pt idx="22">
                  <c:v>1306.78</c:v>
                </c:pt>
                <c:pt idx="23">
                  <c:v>1263.9100000000001</c:v>
                </c:pt>
                <c:pt idx="24">
                  <c:v>1317.35</c:v>
                </c:pt>
                <c:pt idx="25" formatCode="#,##0.00">
                  <c:v>1528.9</c:v>
                </c:pt>
                <c:pt idx="26">
                  <c:v>268.5</c:v>
                </c:pt>
                <c:pt idx="27">
                  <c:v>721.3</c:v>
                </c:pt>
              </c:numCache>
            </c:numRef>
          </c:val>
        </c:ser>
        <c:ser>
          <c:idx val="12"/>
          <c:order val="12"/>
          <c:tx>
            <c:strRef>
              <c:f>ChartSheetTF!$A$14</c:f>
              <c:strCache>
                <c:ptCount val="1"/>
                <c:pt idx="0">
                  <c:v>MATTF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ChartSheetTF!$B$14:$AC$14</c:f>
              <c:numCache>
                <c:formatCode>General</c:formatCode>
                <c:ptCount val="28"/>
                <c:pt idx="0">
                  <c:v>0</c:v>
                </c:pt>
                <c:pt idx="1">
                  <c:v>0</c:v>
                </c:pt>
                <c:pt idx="2">
                  <c:v>6.83</c:v>
                </c:pt>
                <c:pt idx="3">
                  <c:v>2.8699999999999997</c:v>
                </c:pt>
                <c:pt idx="4">
                  <c:v>39.290000000000013</c:v>
                </c:pt>
                <c:pt idx="5">
                  <c:v>40.590000000000003</c:v>
                </c:pt>
                <c:pt idx="6">
                  <c:v>60.64</c:v>
                </c:pt>
                <c:pt idx="7">
                  <c:v>57.97</c:v>
                </c:pt>
                <c:pt idx="8">
                  <c:v>54.28</c:v>
                </c:pt>
                <c:pt idx="9">
                  <c:v>27.17</c:v>
                </c:pt>
                <c:pt idx="10">
                  <c:v>11.34</c:v>
                </c:pt>
                <c:pt idx="11">
                  <c:v>44.08</c:v>
                </c:pt>
                <c:pt idx="12">
                  <c:v>50.28</c:v>
                </c:pt>
                <c:pt idx="13">
                  <c:v>65.930000000000007</c:v>
                </c:pt>
                <c:pt idx="14">
                  <c:v>84.960000000000022</c:v>
                </c:pt>
                <c:pt idx="15">
                  <c:v>133.84</c:v>
                </c:pt>
                <c:pt idx="16">
                  <c:v>0</c:v>
                </c:pt>
                <c:pt idx="17">
                  <c:v>320.76</c:v>
                </c:pt>
                <c:pt idx="18">
                  <c:v>247.62</c:v>
                </c:pt>
                <c:pt idx="19">
                  <c:v>243.04</c:v>
                </c:pt>
                <c:pt idx="20">
                  <c:v>311.5</c:v>
                </c:pt>
                <c:pt idx="21">
                  <c:v>329.40999999999963</c:v>
                </c:pt>
                <c:pt idx="22">
                  <c:v>337.25</c:v>
                </c:pt>
                <c:pt idx="23">
                  <c:v>354.90999999999963</c:v>
                </c:pt>
                <c:pt idx="24">
                  <c:v>350.35</c:v>
                </c:pt>
                <c:pt idx="25">
                  <c:v>307.52</c:v>
                </c:pt>
                <c:pt idx="26">
                  <c:v>285.05</c:v>
                </c:pt>
                <c:pt idx="27">
                  <c:v>217.63</c:v>
                </c:pt>
              </c:numCache>
            </c:numRef>
          </c:val>
        </c:ser>
        <c:ser>
          <c:idx val="13"/>
          <c:order val="13"/>
          <c:tx>
            <c:strRef>
              <c:f>ChartSheetTF!$A$15</c:f>
              <c:strCache>
                <c:ptCount val="1"/>
                <c:pt idx="0">
                  <c:v>PISTF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ChartSheetTF!$B$15:$AC$15</c:f>
              <c:numCache>
                <c:formatCode>General</c:formatCode>
                <c:ptCount val="28"/>
                <c:pt idx="0">
                  <c:v>139.57</c:v>
                </c:pt>
                <c:pt idx="1">
                  <c:v>211.73</c:v>
                </c:pt>
                <c:pt idx="2">
                  <c:v>308.27</c:v>
                </c:pt>
                <c:pt idx="3">
                  <c:v>319.35000000000002</c:v>
                </c:pt>
                <c:pt idx="4">
                  <c:v>11.11</c:v>
                </c:pt>
                <c:pt idx="5">
                  <c:v>57.7</c:v>
                </c:pt>
                <c:pt idx="6">
                  <c:v>108.86999999999999</c:v>
                </c:pt>
                <c:pt idx="7">
                  <c:v>8.32</c:v>
                </c:pt>
                <c:pt idx="8">
                  <c:v>14.97</c:v>
                </c:pt>
                <c:pt idx="9">
                  <c:v>30.8</c:v>
                </c:pt>
                <c:pt idx="10">
                  <c:v>33.01</c:v>
                </c:pt>
                <c:pt idx="11">
                  <c:v>50.89</c:v>
                </c:pt>
                <c:pt idx="12">
                  <c:v>123.25</c:v>
                </c:pt>
                <c:pt idx="13">
                  <c:v>126.61999999999999</c:v>
                </c:pt>
                <c:pt idx="14">
                  <c:v>50.81</c:v>
                </c:pt>
                <c:pt idx="15">
                  <c:v>129.22</c:v>
                </c:pt>
                <c:pt idx="16">
                  <c:v>0</c:v>
                </c:pt>
                <c:pt idx="17">
                  <c:v>255.60999999999999</c:v>
                </c:pt>
                <c:pt idx="18">
                  <c:v>85.7</c:v>
                </c:pt>
                <c:pt idx="19">
                  <c:v>205.03</c:v>
                </c:pt>
                <c:pt idx="20">
                  <c:v>306.45</c:v>
                </c:pt>
                <c:pt idx="21">
                  <c:v>296.32</c:v>
                </c:pt>
                <c:pt idx="22">
                  <c:v>306.32</c:v>
                </c:pt>
                <c:pt idx="23">
                  <c:v>309.41000000000003</c:v>
                </c:pt>
                <c:pt idx="24">
                  <c:v>110.9</c:v>
                </c:pt>
                <c:pt idx="25">
                  <c:v>211.63</c:v>
                </c:pt>
                <c:pt idx="27">
                  <c:v>102.08</c:v>
                </c:pt>
              </c:numCache>
            </c:numRef>
          </c:val>
        </c:ser>
        <c:ser>
          <c:idx val="14"/>
          <c:order val="14"/>
          <c:tx>
            <c:strRef>
              <c:f>ChartSheetTF!$A$16</c:f>
              <c:strCache>
                <c:ptCount val="1"/>
                <c:pt idx="0">
                  <c:v>ANATF DC</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ChartSheetTF!$B$16:$Z$16</c:f>
              <c:numCache>
                <c:formatCode>General</c:formatCode>
                <c:ptCount val="25"/>
                <c:pt idx="0">
                  <c:v>4.6599999999999975</c:v>
                </c:pt>
                <c:pt idx="1">
                  <c:v>3.6</c:v>
                </c:pt>
                <c:pt idx="2">
                  <c:v>2.21</c:v>
                </c:pt>
                <c:pt idx="3">
                  <c:v>3.8099999999999987</c:v>
                </c:pt>
                <c:pt idx="4">
                  <c:v>4.2</c:v>
                </c:pt>
                <c:pt idx="5">
                  <c:v>3.9699999999999998</c:v>
                </c:pt>
                <c:pt idx="6">
                  <c:v>5.01</c:v>
                </c:pt>
                <c:pt idx="7">
                  <c:v>4.8899999999999997</c:v>
                </c:pt>
                <c:pt idx="8">
                  <c:v>5.29</c:v>
                </c:pt>
                <c:pt idx="9">
                  <c:v>5.74</c:v>
                </c:pt>
                <c:pt idx="10">
                  <c:v>6.2700000000000014</c:v>
                </c:pt>
                <c:pt idx="11">
                  <c:v>5.52</c:v>
                </c:pt>
                <c:pt idx="12">
                  <c:v>3.42</c:v>
                </c:pt>
                <c:pt idx="13">
                  <c:v>2.3699999999999997</c:v>
                </c:pt>
                <c:pt idx="14">
                  <c:v>3.54</c:v>
                </c:pt>
                <c:pt idx="15">
                  <c:v>4.2699999999999996</c:v>
                </c:pt>
                <c:pt idx="16">
                  <c:v>1.73</c:v>
                </c:pt>
                <c:pt idx="17">
                  <c:v>2.7</c:v>
                </c:pt>
                <c:pt idx="18">
                  <c:v>0</c:v>
                </c:pt>
                <c:pt idx="19">
                  <c:v>0</c:v>
                </c:pt>
                <c:pt idx="20">
                  <c:v>0</c:v>
                </c:pt>
                <c:pt idx="21">
                  <c:v>0</c:v>
                </c:pt>
                <c:pt idx="22">
                  <c:v>0</c:v>
                </c:pt>
                <c:pt idx="23">
                  <c:v>0</c:v>
                </c:pt>
                <c:pt idx="24">
                  <c:v>0</c:v>
                </c:pt>
              </c:numCache>
            </c:numRef>
          </c:val>
        </c:ser>
        <c:ser>
          <c:idx val="16"/>
          <c:order val="15"/>
          <c:tx>
            <c:strRef>
              <c:f>ChartSheetTF!$A$18</c:f>
              <c:strCache>
                <c:ptCount val="1"/>
                <c:pt idx="0">
                  <c:v>RPPTF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ChartSheetTF!$B$18:$AC$18</c:f>
              <c:numCache>
                <c:formatCode>General</c:formatCode>
                <c:ptCount val="28"/>
                <c:pt idx="0">
                  <c:v>0</c:v>
                </c:pt>
                <c:pt idx="1">
                  <c:v>0</c:v>
                </c:pt>
                <c:pt idx="2">
                  <c:v>0</c:v>
                </c:pt>
                <c:pt idx="3">
                  <c:v>0</c:v>
                </c:pt>
                <c:pt idx="4">
                  <c:v>0</c:v>
                </c:pt>
                <c:pt idx="5">
                  <c:v>0</c:v>
                </c:pt>
                <c:pt idx="6">
                  <c:v>0</c:v>
                </c:pt>
                <c:pt idx="7">
                  <c:v>0</c:v>
                </c:pt>
                <c:pt idx="8">
                  <c:v>0</c:v>
                </c:pt>
                <c:pt idx="9">
                  <c:v>0</c:v>
                </c:pt>
                <c:pt idx="10">
                  <c:v>0</c:v>
                </c:pt>
                <c:pt idx="11">
                  <c:v>0</c:v>
                </c:pt>
                <c:pt idx="12">
                  <c:v>0</c:v>
                </c:pt>
                <c:pt idx="13">
                  <c:v>7.29</c:v>
                </c:pt>
                <c:pt idx="14">
                  <c:v>7.42</c:v>
                </c:pt>
                <c:pt idx="15">
                  <c:v>16.190000000000001</c:v>
                </c:pt>
                <c:pt idx="16">
                  <c:v>26.779999999999987</c:v>
                </c:pt>
                <c:pt idx="17">
                  <c:v>1.3900000000000001</c:v>
                </c:pt>
                <c:pt idx="18">
                  <c:v>0</c:v>
                </c:pt>
                <c:pt idx="19">
                  <c:v>9.57</c:v>
                </c:pt>
                <c:pt idx="20">
                  <c:v>32.730000000000011</c:v>
                </c:pt>
                <c:pt idx="21">
                  <c:v>3.12</c:v>
                </c:pt>
                <c:pt idx="22">
                  <c:v>29.68</c:v>
                </c:pt>
                <c:pt idx="23">
                  <c:v>44.13</c:v>
                </c:pt>
                <c:pt idx="24">
                  <c:v>71.27</c:v>
                </c:pt>
                <c:pt idx="25">
                  <c:v>179.75</c:v>
                </c:pt>
                <c:pt idx="26">
                  <c:v>121.44000000000011</c:v>
                </c:pt>
                <c:pt idx="27">
                  <c:v>35.17</c:v>
                </c:pt>
              </c:numCache>
            </c:numRef>
          </c:val>
        </c:ser>
        <c:ser>
          <c:idx val="17"/>
          <c:order val="16"/>
          <c:tx>
            <c:strRef>
              <c:f>ChartSheetTF!$A$19</c:f>
              <c:strCache>
                <c:ptCount val="1"/>
                <c:pt idx="0">
                  <c:v>MPNTF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ChartSheetTF!$B$19:$AC$19</c:f>
              <c:numCache>
                <c:formatCode>General</c:formatCode>
                <c:ptCount val="28"/>
                <c:pt idx="0">
                  <c:v>0</c:v>
                </c:pt>
                <c:pt idx="1">
                  <c:v>0</c:v>
                </c:pt>
                <c:pt idx="2">
                  <c:v>0</c:v>
                </c:pt>
                <c:pt idx="3">
                  <c:v>0</c:v>
                </c:pt>
                <c:pt idx="4">
                  <c:v>0</c:v>
                </c:pt>
                <c:pt idx="5">
                  <c:v>0</c:v>
                </c:pt>
                <c:pt idx="6">
                  <c:v>0</c:v>
                </c:pt>
                <c:pt idx="7">
                  <c:v>0</c:v>
                </c:pt>
                <c:pt idx="8">
                  <c:v>0</c:v>
                </c:pt>
                <c:pt idx="9">
                  <c:v>0</c:v>
                </c:pt>
                <c:pt idx="10">
                  <c:v>0</c:v>
                </c:pt>
                <c:pt idx="11">
                  <c:v>0</c:v>
                </c:pt>
                <c:pt idx="12">
                  <c:v>0</c:v>
                </c:pt>
                <c:pt idx="13">
                  <c:v>34.380000000000003</c:v>
                </c:pt>
                <c:pt idx="14">
                  <c:v>0</c:v>
                </c:pt>
                <c:pt idx="15">
                  <c:v>0</c:v>
                </c:pt>
                <c:pt idx="16">
                  <c:v>0</c:v>
                </c:pt>
                <c:pt idx="17">
                  <c:v>9.14</c:v>
                </c:pt>
                <c:pt idx="18">
                  <c:v>74.34</c:v>
                </c:pt>
                <c:pt idx="19">
                  <c:v>72.45</c:v>
                </c:pt>
                <c:pt idx="20">
                  <c:v>119.81</c:v>
                </c:pt>
                <c:pt idx="21">
                  <c:v>133.60999999999999</c:v>
                </c:pt>
                <c:pt idx="22">
                  <c:v>160.63</c:v>
                </c:pt>
                <c:pt idx="23">
                  <c:v>171.66</c:v>
                </c:pt>
                <c:pt idx="24">
                  <c:v>171.9</c:v>
                </c:pt>
                <c:pt idx="25">
                  <c:v>199.51</c:v>
                </c:pt>
                <c:pt idx="26">
                  <c:v>202.95000000000007</c:v>
                </c:pt>
                <c:pt idx="27">
                  <c:v>204.44</c:v>
                </c:pt>
              </c:numCache>
            </c:numRef>
          </c:val>
        </c:ser>
        <c:ser>
          <c:idx val="18"/>
          <c:order val="17"/>
          <c:tx>
            <c:strRef>
              <c:f>ChartSheetTF!$A$20</c:f>
              <c:strCache>
                <c:ptCount val="1"/>
                <c:pt idx="0">
                  <c:v>PMKTF</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ChartSheetTF!$B$20:$AC$20</c:f>
              <c:numCache>
                <c:formatCode>General</c:formatCode>
                <c:ptCount val="28"/>
                <c:pt idx="0">
                  <c:v>0</c:v>
                </c:pt>
                <c:pt idx="1">
                  <c:v>0</c:v>
                </c:pt>
                <c:pt idx="2">
                  <c:v>0</c:v>
                </c:pt>
                <c:pt idx="3">
                  <c:v>0</c:v>
                </c:pt>
                <c:pt idx="4">
                  <c:v>0</c:v>
                </c:pt>
                <c:pt idx="5">
                  <c:v>0</c:v>
                </c:pt>
                <c:pt idx="6">
                  <c:v>0</c:v>
                </c:pt>
                <c:pt idx="7">
                  <c:v>0</c:v>
                </c:pt>
                <c:pt idx="8">
                  <c:v>0</c:v>
                </c:pt>
                <c:pt idx="9">
                  <c:v>0</c:v>
                </c:pt>
                <c:pt idx="10">
                  <c:v>0</c:v>
                </c:pt>
                <c:pt idx="11">
                  <c:v>0</c:v>
                </c:pt>
                <c:pt idx="12">
                  <c:v>0</c:v>
                </c:pt>
                <c:pt idx="13">
                  <c:v>75.89</c:v>
                </c:pt>
                <c:pt idx="14">
                  <c:v>0</c:v>
                </c:pt>
                <c:pt idx="15">
                  <c:v>70.430000000000007</c:v>
                </c:pt>
                <c:pt idx="16">
                  <c:v>56.52</c:v>
                </c:pt>
                <c:pt idx="17">
                  <c:v>69.19</c:v>
                </c:pt>
                <c:pt idx="18">
                  <c:v>88</c:v>
                </c:pt>
                <c:pt idx="19">
                  <c:v>135.02000000000001</c:v>
                </c:pt>
                <c:pt idx="20">
                  <c:v>236.88000000000022</c:v>
                </c:pt>
                <c:pt idx="21">
                  <c:v>298.41000000000003</c:v>
                </c:pt>
                <c:pt idx="22">
                  <c:v>328.45</c:v>
                </c:pt>
                <c:pt idx="23">
                  <c:v>373</c:v>
                </c:pt>
                <c:pt idx="24">
                  <c:v>361.15000000000032</c:v>
                </c:pt>
                <c:pt idx="25">
                  <c:v>379.37</c:v>
                </c:pt>
                <c:pt idx="26">
                  <c:v>363.77</c:v>
                </c:pt>
                <c:pt idx="27">
                  <c:v>350.9299999999995</c:v>
                </c:pt>
              </c:numCache>
            </c:numRef>
          </c:val>
        </c:ser>
        <c:ser>
          <c:idx val="19"/>
          <c:order val="18"/>
          <c:tx>
            <c:strRef>
              <c:f>ChartSheetTF!$A$21</c:f>
              <c:strCache>
                <c:ptCount val="1"/>
                <c:pt idx="0">
                  <c:v>JMSTF1</c:v>
                </c:pt>
              </c:strCache>
            </c:strRef>
          </c:tx>
          <c:marker>
            <c:symbol val="none"/>
          </c:marker>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ChartSheetTF!$B$21:$AC$21</c:f>
              <c:numCache>
                <c:formatCode>General</c:formatCode>
                <c:ptCount val="28"/>
                <c:pt idx="0">
                  <c:v>0</c:v>
                </c:pt>
                <c:pt idx="1">
                  <c:v>0</c:v>
                </c:pt>
                <c:pt idx="2">
                  <c:v>0</c:v>
                </c:pt>
                <c:pt idx="3">
                  <c:v>0</c:v>
                </c:pt>
                <c:pt idx="4">
                  <c:v>0</c:v>
                </c:pt>
                <c:pt idx="5">
                  <c:v>0</c:v>
                </c:pt>
                <c:pt idx="6">
                  <c:v>0</c:v>
                </c:pt>
                <c:pt idx="7">
                  <c:v>0</c:v>
                </c:pt>
                <c:pt idx="8">
                  <c:v>0</c:v>
                </c:pt>
                <c:pt idx="9">
                  <c:v>0</c:v>
                </c:pt>
                <c:pt idx="10">
                  <c:v>0</c:v>
                </c:pt>
                <c:pt idx="11">
                  <c:v>0</c:v>
                </c:pt>
                <c:pt idx="12">
                  <c:v>0</c:v>
                </c:pt>
                <c:pt idx="13">
                  <c:v>36</c:v>
                </c:pt>
                <c:pt idx="14">
                  <c:v>0</c:v>
                </c:pt>
                <c:pt idx="15">
                  <c:v>26.84</c:v>
                </c:pt>
                <c:pt idx="16">
                  <c:v>38.39</c:v>
                </c:pt>
                <c:pt idx="17">
                  <c:v>33.82</c:v>
                </c:pt>
                <c:pt idx="18">
                  <c:v>30.479999999999986</c:v>
                </c:pt>
                <c:pt idx="19">
                  <c:v>4.76</c:v>
                </c:pt>
                <c:pt idx="20">
                  <c:v>21.630000000000027</c:v>
                </c:pt>
                <c:pt idx="21">
                  <c:v>90.47</c:v>
                </c:pt>
                <c:pt idx="22">
                  <c:v>123.28</c:v>
                </c:pt>
                <c:pt idx="23">
                  <c:v>142.46</c:v>
                </c:pt>
                <c:pt idx="24">
                  <c:v>135.13999999999999</c:v>
                </c:pt>
                <c:pt idx="25">
                  <c:v>160.60999999999999</c:v>
                </c:pt>
                <c:pt idx="26">
                  <c:v>217.10999999999999</c:v>
                </c:pt>
                <c:pt idx="27">
                  <c:v>253.93</c:v>
                </c:pt>
              </c:numCache>
            </c:numRef>
          </c:val>
        </c:ser>
        <c:marker val="1"/>
        <c:axId val="106349696"/>
        <c:axId val="106351232"/>
      </c:lineChart>
      <c:catAx>
        <c:axId val="106349696"/>
        <c:scaling>
          <c:orientation val="minMax"/>
        </c:scaling>
        <c:axPos val="b"/>
        <c:numFmt formatCode="General" sourceLinked="1"/>
        <c:tickLblPos val="nextTo"/>
        <c:crossAx val="106351232"/>
        <c:crosses val="autoZero"/>
        <c:auto val="1"/>
        <c:lblAlgn val="ctr"/>
        <c:lblOffset val="100"/>
      </c:catAx>
      <c:valAx>
        <c:axId val="106351232"/>
        <c:scaling>
          <c:orientation val="minMax"/>
        </c:scaling>
        <c:axPos val="l"/>
        <c:majorGridlines/>
        <c:numFmt formatCode="General" sourceLinked="1"/>
        <c:tickLblPos val="nextTo"/>
        <c:crossAx val="106349696"/>
        <c:crosses val="autoZero"/>
        <c:crossBetween val="between"/>
      </c:valAx>
    </c:plotArea>
    <c:legend>
      <c:legendPos val="r"/>
    </c:legend>
    <c:plotVisOnly val="1"/>
    <c:dispBlanksAs val="span"/>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800" b="1" i="0" baseline="0"/>
              <a:t>Tidal Fresh (TF) segments</a:t>
            </a:r>
          </a:p>
        </c:rich>
      </c:tx>
    </c:title>
    <c:plotArea>
      <c:layout/>
      <c:lineChart>
        <c:grouping val="standard"/>
        <c:ser>
          <c:idx val="0"/>
          <c:order val="0"/>
          <c:tx>
            <c:v>All Tidal Fresh segments</c:v>
          </c:tx>
          <c:marker>
            <c:symbol val="none"/>
          </c:marker>
          <c:trendline>
            <c:name>Linear trend</c:name>
            <c:spPr>
              <a:ln>
                <a:solidFill>
                  <a:srgbClr val="DE10C5"/>
                </a:solidFill>
                <a:prstDash val="sysDash"/>
              </a:ln>
            </c:spPr>
            <c:trendlineType val="linear"/>
          </c:trendline>
          <c:cat>
            <c:numRef>
              <c:f>ChartSheetTF!$B$1:$AC$1</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numCache>
            </c:numRef>
          </c:cat>
          <c:val>
            <c:numRef>
              <c:f>ChartSheetTF!$B$25:$AC$25</c:f>
              <c:numCache>
                <c:formatCode>General</c:formatCode>
                <c:ptCount val="28"/>
                <c:pt idx="0">
                  <c:v>2796.8</c:v>
                </c:pt>
                <c:pt idx="1">
                  <c:v>3437.9499999999994</c:v>
                </c:pt>
                <c:pt idx="2">
                  <c:v>3965.13</c:v>
                </c:pt>
                <c:pt idx="3">
                  <c:v>3798.84</c:v>
                </c:pt>
                <c:pt idx="4">
                  <c:v>3253.4500000000012</c:v>
                </c:pt>
                <c:pt idx="5">
                  <c:v>3423.8300000000022</c:v>
                </c:pt>
                <c:pt idx="6">
                  <c:v>3753.07</c:v>
                </c:pt>
                <c:pt idx="7">
                  <c:v>3209.4599999999996</c:v>
                </c:pt>
                <c:pt idx="8">
                  <c:v>3215.04</c:v>
                </c:pt>
                <c:pt idx="9">
                  <c:v>3754.82</c:v>
                </c:pt>
                <c:pt idx="10">
                  <c:v>2792.3200000000006</c:v>
                </c:pt>
                <c:pt idx="11">
                  <c:v>2958.69</c:v>
                </c:pt>
                <c:pt idx="12">
                  <c:v>3275.77</c:v>
                </c:pt>
                <c:pt idx="13">
                  <c:v>3816.139999999999</c:v>
                </c:pt>
                <c:pt idx="14">
                  <c:v>4072.4100000000012</c:v>
                </c:pt>
                <c:pt idx="15">
                  <c:v>5136.5800000000008</c:v>
                </c:pt>
                <c:pt idx="16">
                  <c:v>4232.08</c:v>
                </c:pt>
                <c:pt idx="17">
                  <c:v>6010.2199999999993</c:v>
                </c:pt>
                <c:pt idx="18">
                  <c:v>4350.92</c:v>
                </c:pt>
                <c:pt idx="19">
                  <c:v>5853.31</c:v>
                </c:pt>
                <c:pt idx="20">
                  <c:v>6727.02</c:v>
                </c:pt>
                <c:pt idx="21">
                  <c:v>6784.77</c:v>
                </c:pt>
                <c:pt idx="22">
                  <c:v>8992.349999999984</c:v>
                </c:pt>
                <c:pt idx="23">
                  <c:v>10311.619999999983</c:v>
                </c:pt>
                <c:pt idx="24">
                  <c:v>10065.449999999984</c:v>
                </c:pt>
                <c:pt idx="25">
                  <c:v>9620.76</c:v>
                </c:pt>
                <c:pt idx="26">
                  <c:v>5324.56</c:v>
                </c:pt>
                <c:pt idx="27">
                  <c:v>4916.45</c:v>
                </c:pt>
              </c:numCache>
            </c:numRef>
          </c:val>
        </c:ser>
        <c:marker val="1"/>
        <c:axId val="106241024"/>
        <c:axId val="106193664"/>
      </c:lineChart>
      <c:catAx>
        <c:axId val="106241024"/>
        <c:scaling>
          <c:orientation val="minMax"/>
        </c:scaling>
        <c:axPos val="b"/>
        <c:numFmt formatCode="General" sourceLinked="1"/>
        <c:tickLblPos val="nextTo"/>
        <c:crossAx val="106193664"/>
        <c:crosses val="autoZero"/>
        <c:auto val="1"/>
        <c:lblAlgn val="ctr"/>
        <c:lblOffset val="100"/>
      </c:catAx>
      <c:valAx>
        <c:axId val="106193664"/>
        <c:scaling>
          <c:orientation val="minMax"/>
        </c:scaling>
        <c:axPos val="l"/>
        <c:majorGridlines/>
        <c:numFmt formatCode="General" sourceLinked="1"/>
        <c:tickLblPos val="nextTo"/>
        <c:crossAx val="106241024"/>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Aggregated segments with goals &gt;= 5000 ha (n=4)</a:t>
            </a:r>
          </a:p>
        </c:rich>
      </c:tx>
    </c:title>
    <c:plotArea>
      <c:layout/>
      <c:lineChart>
        <c:grouping val="standard"/>
        <c:ser>
          <c:idx val="0"/>
          <c:order val="0"/>
          <c:tx>
            <c:v>TANMH1 MD, TANMH1 VA, CB7PH, MOBPH</c:v>
          </c:tx>
          <c:marker>
            <c:symbol val="none"/>
          </c:marker>
          <c:trendline>
            <c:name>Linear trend</c:name>
            <c:spPr>
              <a:ln>
                <a:solidFill>
                  <a:srgbClr val="FF0000"/>
                </a:solidFill>
                <a:prstDash val="sysDash"/>
              </a:ln>
            </c:spPr>
            <c:trendlineType val="linear"/>
          </c:trendline>
          <c:cat>
            <c:numRef>
              <c:f>MostHaGoalSegs!$C$2:$AD$2</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formatCode="0">
                  <c:v>2012</c:v>
                </c:pt>
              </c:numCache>
            </c:numRef>
          </c:cat>
          <c:val>
            <c:numRef>
              <c:f>MostHaGoalSegs!$C$8:$AD$8</c:f>
              <c:numCache>
                <c:formatCode>General</c:formatCode>
                <c:ptCount val="28"/>
                <c:pt idx="0">
                  <c:v>10067.48</c:v>
                </c:pt>
                <c:pt idx="1">
                  <c:v>10543.19</c:v>
                </c:pt>
                <c:pt idx="2">
                  <c:v>11525</c:v>
                </c:pt>
                <c:pt idx="3">
                  <c:v>10846.630000000006</c:v>
                </c:pt>
                <c:pt idx="4">
                  <c:v>13205.17</c:v>
                </c:pt>
                <c:pt idx="5">
                  <c:v>13822.400000000001</c:v>
                </c:pt>
                <c:pt idx="6">
                  <c:v>15288.310000000001</c:v>
                </c:pt>
                <c:pt idx="7">
                  <c:v>15841.779999999992</c:v>
                </c:pt>
                <c:pt idx="8">
                  <c:v>15728.810000000001</c:v>
                </c:pt>
                <c:pt idx="9">
                  <c:v>13383.150000000001</c:v>
                </c:pt>
                <c:pt idx="10">
                  <c:v>12570.05</c:v>
                </c:pt>
                <c:pt idx="11">
                  <c:v>12596.03</c:v>
                </c:pt>
                <c:pt idx="12">
                  <c:v>12205.259999999989</c:v>
                </c:pt>
                <c:pt idx="13">
                  <c:v>10374.58</c:v>
                </c:pt>
                <c:pt idx="14">
                  <c:v>11217.41</c:v>
                </c:pt>
                <c:pt idx="15">
                  <c:v>12182.75</c:v>
                </c:pt>
                <c:pt idx="16">
                  <c:v>12948.75</c:v>
                </c:pt>
                <c:pt idx="17">
                  <c:v>13581.32</c:v>
                </c:pt>
                <c:pt idx="18">
                  <c:v>10947.62</c:v>
                </c:pt>
                <c:pt idx="19">
                  <c:v>9406.859999999986</c:v>
                </c:pt>
                <c:pt idx="20">
                  <c:v>10594.890000000001</c:v>
                </c:pt>
                <c:pt idx="21">
                  <c:v>7626.130000000001</c:v>
                </c:pt>
                <c:pt idx="22">
                  <c:v>8460.0400000000009</c:v>
                </c:pt>
                <c:pt idx="23">
                  <c:v>10168.970000000001</c:v>
                </c:pt>
                <c:pt idx="24">
                  <c:v>11687.15</c:v>
                </c:pt>
                <c:pt idx="25">
                  <c:v>11812.130000000006</c:v>
                </c:pt>
                <c:pt idx="26">
                  <c:v>8428.0400000000009</c:v>
                </c:pt>
                <c:pt idx="27">
                  <c:v>8302.6500000000015</c:v>
                </c:pt>
              </c:numCache>
            </c:numRef>
          </c:val>
        </c:ser>
        <c:marker val="1"/>
        <c:axId val="106267776"/>
        <c:axId val="106269312"/>
      </c:lineChart>
      <c:catAx>
        <c:axId val="106267776"/>
        <c:scaling>
          <c:orientation val="minMax"/>
        </c:scaling>
        <c:axPos val="b"/>
        <c:numFmt formatCode="General" sourceLinked="1"/>
        <c:tickLblPos val="nextTo"/>
        <c:crossAx val="106269312"/>
        <c:crosses val="autoZero"/>
        <c:auto val="1"/>
        <c:lblAlgn val="ctr"/>
        <c:lblOffset val="100"/>
      </c:catAx>
      <c:valAx>
        <c:axId val="106269312"/>
        <c:scaling>
          <c:orientation val="minMax"/>
        </c:scaling>
        <c:axPos val="l"/>
        <c:majorGridlines/>
        <c:numFmt formatCode="General" sourceLinked="1"/>
        <c:tickLblPos val="nextTo"/>
        <c:crossAx val="106267776"/>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Segments With Goals 1000 ha - 4999 ha (n=15)</a:t>
            </a:r>
          </a:p>
        </c:rich>
      </c:tx>
    </c:title>
    <c:plotArea>
      <c:layout/>
      <c:lineChart>
        <c:grouping val="standard"/>
        <c:ser>
          <c:idx val="0"/>
          <c:order val="0"/>
          <c:tx>
            <c:v>Segments With Goals 1000 ha - 4999 ha</c:v>
          </c:tx>
          <c:spPr>
            <a:ln>
              <a:solidFill>
                <a:srgbClr val="FF9933"/>
              </a:solidFill>
            </a:ln>
          </c:spPr>
          <c:marker>
            <c:symbol val="none"/>
          </c:marker>
          <c:trendline>
            <c:name>Linear trend</c:name>
            <c:spPr>
              <a:ln>
                <a:solidFill>
                  <a:srgbClr val="002060"/>
                </a:solidFill>
                <a:prstDash val="sysDash"/>
              </a:ln>
            </c:spPr>
            <c:trendlineType val="linear"/>
          </c:trendline>
          <c:cat>
            <c:numRef>
              <c:f>MostHaGoalSegs!$C$35:$AD$35</c:f>
              <c:numCache>
                <c:formatCode>General</c:formatCode>
                <c:ptCount val="28"/>
                <c:pt idx="0">
                  <c:v>1984</c:v>
                </c:pt>
                <c:pt idx="1">
                  <c:v>1985</c:v>
                </c:pt>
                <c:pt idx="2">
                  <c:v>1986</c:v>
                </c:pt>
                <c:pt idx="3">
                  <c:v>1987</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formatCode="0">
                  <c:v>2012</c:v>
                </c:pt>
              </c:numCache>
            </c:numRef>
          </c:cat>
          <c:val>
            <c:numRef>
              <c:f>MostHaGoalSegs!$C$52:$AD$52</c:f>
              <c:numCache>
                <c:formatCode>General</c:formatCode>
                <c:ptCount val="28"/>
                <c:pt idx="0">
                  <c:v>3711.2799999999993</c:v>
                </c:pt>
                <c:pt idx="1">
                  <c:v>6163.3900000000021</c:v>
                </c:pt>
                <c:pt idx="2">
                  <c:v>4820.6100000000024</c:v>
                </c:pt>
                <c:pt idx="3">
                  <c:v>6133.09</c:v>
                </c:pt>
                <c:pt idx="4">
                  <c:v>6880.0700000000006</c:v>
                </c:pt>
                <c:pt idx="5">
                  <c:v>6121.48</c:v>
                </c:pt>
                <c:pt idx="6">
                  <c:v>5604.03</c:v>
                </c:pt>
                <c:pt idx="7">
                  <c:v>8209.5299999999788</c:v>
                </c:pt>
                <c:pt idx="8">
                  <c:v>9530.7100000000009</c:v>
                </c:pt>
                <c:pt idx="9">
                  <c:v>9100.1699999999746</c:v>
                </c:pt>
                <c:pt idx="10">
                  <c:v>8253.3900000000012</c:v>
                </c:pt>
                <c:pt idx="11">
                  <c:v>9334.44</c:v>
                </c:pt>
                <c:pt idx="12">
                  <c:v>11345.550000000001</c:v>
                </c:pt>
                <c:pt idx="13">
                  <c:v>9223.260000000002</c:v>
                </c:pt>
                <c:pt idx="14">
                  <c:v>10581.220000000008</c:v>
                </c:pt>
                <c:pt idx="15">
                  <c:v>8079.7900000000009</c:v>
                </c:pt>
                <c:pt idx="16">
                  <c:v>13211.179999999978</c:v>
                </c:pt>
                <c:pt idx="17">
                  <c:v>15879.14000000001</c:v>
                </c:pt>
                <c:pt idx="18">
                  <c:v>9148.5</c:v>
                </c:pt>
                <c:pt idx="19">
                  <c:v>11227.2</c:v>
                </c:pt>
                <c:pt idx="20">
                  <c:v>10705.09</c:v>
                </c:pt>
                <c:pt idx="21">
                  <c:v>7728.5100000000011</c:v>
                </c:pt>
                <c:pt idx="22">
                  <c:v>8005.0500000000011</c:v>
                </c:pt>
                <c:pt idx="23">
                  <c:v>10072.240000000014</c:v>
                </c:pt>
                <c:pt idx="24">
                  <c:v>11586.27</c:v>
                </c:pt>
                <c:pt idx="25">
                  <c:v>9503.2200000000048</c:v>
                </c:pt>
                <c:pt idx="26">
                  <c:v>8695.9399999999787</c:v>
                </c:pt>
                <c:pt idx="27">
                  <c:v>5339.4100000000008</c:v>
                </c:pt>
              </c:numCache>
            </c:numRef>
          </c:val>
        </c:ser>
        <c:marker val="1"/>
        <c:axId val="106281600"/>
        <c:axId val="106373504"/>
      </c:lineChart>
      <c:catAx>
        <c:axId val="106281600"/>
        <c:scaling>
          <c:orientation val="minMax"/>
        </c:scaling>
        <c:axPos val="b"/>
        <c:numFmt formatCode="General" sourceLinked="1"/>
        <c:tickLblPos val="nextTo"/>
        <c:crossAx val="106373504"/>
        <c:crosses val="autoZero"/>
        <c:auto val="1"/>
        <c:lblAlgn val="ctr"/>
        <c:lblOffset val="100"/>
      </c:catAx>
      <c:valAx>
        <c:axId val="106373504"/>
        <c:scaling>
          <c:orientation val="minMax"/>
        </c:scaling>
        <c:axPos val="l"/>
        <c:majorGridlines/>
        <c:numFmt formatCode="General" sourceLinked="1"/>
        <c:tickLblPos val="nextTo"/>
        <c:crossAx val="10628160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97BE7-871B-4C4D-A5D9-D99F5112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hweinber</dc:creator>
  <cp:lastModifiedBy>hmartin</cp:lastModifiedBy>
  <cp:revision>2</cp:revision>
  <dcterms:created xsi:type="dcterms:W3CDTF">2013-08-15T13:00:00Z</dcterms:created>
  <dcterms:modified xsi:type="dcterms:W3CDTF">2013-08-15T13:00:00Z</dcterms:modified>
</cp:coreProperties>
</file>