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627" w:rsidRDefault="00C3285A" w:rsidP="00C3285A">
      <w:pPr>
        <w:pStyle w:val="NoSpacing"/>
        <w:jc w:val="center"/>
        <w:rPr>
          <w:b/>
          <w:sz w:val="32"/>
          <w:szCs w:val="32"/>
        </w:rPr>
      </w:pPr>
      <w:r w:rsidRPr="00C3285A">
        <w:rPr>
          <w:b/>
          <w:sz w:val="32"/>
          <w:szCs w:val="32"/>
        </w:rPr>
        <w:t>Executive Council Commitments and Advisory Committee Recommendations</w:t>
      </w:r>
    </w:p>
    <w:p w:rsidR="002B046C" w:rsidRDefault="002B046C" w:rsidP="00C3285A">
      <w:pPr>
        <w:pStyle w:val="NoSpacing"/>
        <w:jc w:val="center"/>
        <w:rPr>
          <w:b/>
          <w:sz w:val="32"/>
          <w:szCs w:val="32"/>
        </w:rPr>
      </w:pPr>
      <w:r>
        <w:rPr>
          <w:b/>
          <w:sz w:val="32"/>
          <w:szCs w:val="32"/>
        </w:rPr>
        <w:t>Management Board Discussion Draft – October 18, 2018</w:t>
      </w:r>
    </w:p>
    <w:p w:rsidR="002B046C" w:rsidRDefault="002B046C" w:rsidP="00C3285A">
      <w:pPr>
        <w:pStyle w:val="NoSpacing"/>
        <w:jc w:val="center"/>
        <w:rPr>
          <w:b/>
          <w:sz w:val="32"/>
          <w:szCs w:val="32"/>
        </w:rPr>
      </w:pPr>
    </w:p>
    <w:p w:rsidR="002B046C" w:rsidRDefault="002B046C" w:rsidP="002B046C">
      <w:pPr>
        <w:pStyle w:val="NoSpacing"/>
        <w:rPr>
          <w:szCs w:val="22"/>
        </w:rPr>
      </w:pPr>
      <w:r>
        <w:rPr>
          <w:szCs w:val="22"/>
        </w:rPr>
        <w:t>Objectives for the Meeting:</w:t>
      </w:r>
    </w:p>
    <w:p w:rsidR="002B046C" w:rsidRDefault="002B046C" w:rsidP="002B046C">
      <w:pPr>
        <w:pStyle w:val="NoSpacing"/>
        <w:numPr>
          <w:ilvl w:val="0"/>
          <w:numId w:val="4"/>
        </w:numPr>
        <w:rPr>
          <w:szCs w:val="22"/>
        </w:rPr>
      </w:pPr>
      <w:r>
        <w:rPr>
          <w:szCs w:val="22"/>
        </w:rPr>
        <w:t>For the Agricultural Technical Assistance Directive</w:t>
      </w:r>
    </w:p>
    <w:p w:rsidR="002B046C" w:rsidRDefault="002B046C" w:rsidP="002B046C">
      <w:pPr>
        <w:pStyle w:val="NoSpacing"/>
        <w:numPr>
          <w:ilvl w:val="1"/>
          <w:numId w:val="4"/>
        </w:numPr>
        <w:rPr>
          <w:szCs w:val="22"/>
        </w:rPr>
      </w:pPr>
      <w:r>
        <w:rPr>
          <w:szCs w:val="22"/>
        </w:rPr>
        <w:t>Determine leads for follow-up actions</w:t>
      </w:r>
    </w:p>
    <w:p w:rsidR="002B046C" w:rsidRDefault="002B046C" w:rsidP="002B046C">
      <w:pPr>
        <w:pStyle w:val="NoSpacing"/>
        <w:numPr>
          <w:ilvl w:val="1"/>
          <w:numId w:val="4"/>
        </w:numPr>
        <w:rPr>
          <w:szCs w:val="22"/>
        </w:rPr>
      </w:pPr>
      <w:r>
        <w:rPr>
          <w:szCs w:val="22"/>
        </w:rPr>
        <w:t>Discuss specific deliverables for the leads</w:t>
      </w:r>
    </w:p>
    <w:p w:rsidR="002B046C" w:rsidRDefault="002B046C" w:rsidP="002B046C">
      <w:pPr>
        <w:pStyle w:val="NoSpacing"/>
        <w:numPr>
          <w:ilvl w:val="0"/>
          <w:numId w:val="4"/>
        </w:numPr>
        <w:rPr>
          <w:szCs w:val="22"/>
        </w:rPr>
      </w:pPr>
      <w:r>
        <w:rPr>
          <w:szCs w:val="22"/>
        </w:rPr>
        <w:t>For Advisory Committee recommendations</w:t>
      </w:r>
    </w:p>
    <w:p w:rsidR="002B046C" w:rsidRDefault="002B046C" w:rsidP="002B046C">
      <w:pPr>
        <w:pStyle w:val="NoSpacing"/>
        <w:numPr>
          <w:ilvl w:val="1"/>
          <w:numId w:val="4"/>
        </w:numPr>
        <w:rPr>
          <w:szCs w:val="22"/>
        </w:rPr>
      </w:pPr>
      <w:r>
        <w:rPr>
          <w:szCs w:val="22"/>
        </w:rPr>
        <w:t>Review suggested leads for responding</w:t>
      </w:r>
    </w:p>
    <w:p w:rsidR="002B046C" w:rsidRDefault="002B046C" w:rsidP="002B046C">
      <w:pPr>
        <w:pStyle w:val="NoSpacing"/>
        <w:numPr>
          <w:ilvl w:val="1"/>
          <w:numId w:val="4"/>
        </w:numPr>
        <w:rPr>
          <w:szCs w:val="22"/>
        </w:rPr>
      </w:pPr>
      <w:r>
        <w:rPr>
          <w:szCs w:val="22"/>
        </w:rPr>
        <w:t>Assign lead for responding to the recommendations</w:t>
      </w:r>
    </w:p>
    <w:p w:rsidR="002B046C" w:rsidRPr="002B046C" w:rsidRDefault="002B046C" w:rsidP="002B046C">
      <w:pPr>
        <w:pStyle w:val="NoSpacing"/>
        <w:numPr>
          <w:ilvl w:val="1"/>
          <w:numId w:val="4"/>
        </w:numPr>
        <w:rPr>
          <w:szCs w:val="22"/>
        </w:rPr>
      </w:pPr>
      <w:r>
        <w:rPr>
          <w:szCs w:val="22"/>
        </w:rPr>
        <w:t>Discuss next steps</w:t>
      </w:r>
    </w:p>
    <w:p w:rsidR="00F92CFC" w:rsidRDefault="00F92CFC" w:rsidP="00DE28B2">
      <w:pPr>
        <w:pStyle w:val="NoSpacing"/>
      </w:pPr>
    </w:p>
    <w:p w:rsidR="00F92CFC" w:rsidRPr="00C3285A" w:rsidRDefault="002D20BF" w:rsidP="00DE28B2">
      <w:pPr>
        <w:pStyle w:val="NoSpacing"/>
        <w:rPr>
          <w:b/>
          <w:sz w:val="32"/>
          <w:szCs w:val="32"/>
        </w:rPr>
      </w:pPr>
      <w:r w:rsidRPr="00C3285A">
        <w:rPr>
          <w:b/>
          <w:sz w:val="32"/>
          <w:szCs w:val="32"/>
        </w:rPr>
        <w:t>Agricultural Technical Assistance Directive</w:t>
      </w:r>
    </w:p>
    <w:tbl>
      <w:tblPr>
        <w:tblStyle w:val="TableGrid"/>
        <w:tblW w:w="0" w:type="auto"/>
        <w:tblLook w:val="04A0" w:firstRow="1" w:lastRow="0" w:firstColumn="1" w:lastColumn="0" w:noHBand="0" w:noVBand="1"/>
      </w:tblPr>
      <w:tblGrid>
        <w:gridCol w:w="517"/>
        <w:gridCol w:w="5043"/>
        <w:gridCol w:w="7215"/>
      </w:tblGrid>
      <w:tr w:rsidR="002B046C" w:rsidTr="002B046C">
        <w:tc>
          <w:tcPr>
            <w:tcW w:w="517" w:type="dxa"/>
          </w:tcPr>
          <w:p w:rsidR="002B046C" w:rsidRDefault="002B046C" w:rsidP="00DE28B2">
            <w:pPr>
              <w:pStyle w:val="NoSpacing"/>
            </w:pPr>
          </w:p>
        </w:tc>
        <w:tc>
          <w:tcPr>
            <w:tcW w:w="5043" w:type="dxa"/>
          </w:tcPr>
          <w:p w:rsidR="002B046C" w:rsidRDefault="002B046C" w:rsidP="00DE28B2">
            <w:pPr>
              <w:pStyle w:val="NoSpacing"/>
              <w:rPr>
                <w:color w:val="984806" w:themeColor="accent6" w:themeShade="80"/>
              </w:rPr>
            </w:pPr>
            <w:r>
              <w:t>Directive Commitment</w:t>
            </w:r>
          </w:p>
        </w:tc>
        <w:tc>
          <w:tcPr>
            <w:tcW w:w="7215" w:type="dxa"/>
          </w:tcPr>
          <w:p w:rsidR="002B046C" w:rsidRDefault="002B046C" w:rsidP="00DE28B2">
            <w:pPr>
              <w:pStyle w:val="NoSpacing"/>
              <w:rPr>
                <w:color w:val="984806" w:themeColor="accent6" w:themeShade="80"/>
              </w:rPr>
            </w:pPr>
            <w:r>
              <w:t>Action Lead</w:t>
            </w:r>
          </w:p>
        </w:tc>
      </w:tr>
      <w:tr w:rsidR="002B046C" w:rsidTr="002B046C">
        <w:tc>
          <w:tcPr>
            <w:tcW w:w="517" w:type="dxa"/>
          </w:tcPr>
          <w:p w:rsidR="002B046C" w:rsidRPr="002D20BF" w:rsidRDefault="002B046C" w:rsidP="00DE28B2">
            <w:pPr>
              <w:pStyle w:val="NoSpacing"/>
            </w:pPr>
            <w:r>
              <w:t>1</w:t>
            </w:r>
          </w:p>
        </w:tc>
        <w:tc>
          <w:tcPr>
            <w:tcW w:w="5043" w:type="dxa"/>
          </w:tcPr>
          <w:p w:rsidR="002B046C" w:rsidRPr="002D20BF" w:rsidRDefault="002B046C" w:rsidP="00DE28B2">
            <w:pPr>
              <w:pStyle w:val="NoSpacing"/>
            </w:pPr>
            <w:r>
              <w:t>Technical Assistance</w:t>
            </w:r>
          </w:p>
          <w:p w:rsidR="002B046C" w:rsidRPr="002D20BF" w:rsidRDefault="002B046C" w:rsidP="00DE28B2">
            <w:pPr>
              <w:pStyle w:val="NoSpacing"/>
              <w:rPr>
                <w:b/>
              </w:rPr>
            </w:pPr>
            <w:r>
              <w:t>Strive to provide stable and sufficient technical assistance in order to help farmers implement the conservation practices necessary to meet Bay TMDL goals.</w:t>
            </w:r>
          </w:p>
        </w:tc>
        <w:tc>
          <w:tcPr>
            <w:tcW w:w="7215" w:type="dxa"/>
          </w:tcPr>
          <w:p w:rsidR="002B046C" w:rsidRDefault="002B046C" w:rsidP="00C3285A">
            <w:pPr>
              <w:pStyle w:val="NoSpacing"/>
              <w:numPr>
                <w:ilvl w:val="0"/>
                <w:numId w:val="3"/>
              </w:numPr>
            </w:pPr>
            <w:r>
              <w:t>Jurisdictions identify TA needs and gaps through WIP Development</w:t>
            </w:r>
          </w:p>
          <w:p w:rsidR="002B046C" w:rsidRDefault="002B046C" w:rsidP="00DE28B2">
            <w:pPr>
              <w:pStyle w:val="NoSpacing"/>
              <w:numPr>
                <w:ilvl w:val="0"/>
                <w:numId w:val="3"/>
              </w:numPr>
            </w:pPr>
            <w:r>
              <w:t>Ag Workgroup for gaps analysis</w:t>
            </w:r>
          </w:p>
          <w:p w:rsidR="002B046C" w:rsidRPr="002D20BF" w:rsidRDefault="002B046C" w:rsidP="00DE28B2">
            <w:pPr>
              <w:pStyle w:val="NoSpacing"/>
              <w:numPr>
                <w:ilvl w:val="0"/>
                <w:numId w:val="3"/>
              </w:numPr>
            </w:pPr>
            <w:r>
              <w:t>Ag workgroup to convene USDA, CBC, EPA, and jurisdictions to identify where programs will meet gaps</w:t>
            </w:r>
          </w:p>
        </w:tc>
      </w:tr>
      <w:tr w:rsidR="002B046C" w:rsidTr="002B046C">
        <w:tc>
          <w:tcPr>
            <w:tcW w:w="517" w:type="dxa"/>
          </w:tcPr>
          <w:p w:rsidR="002B046C" w:rsidRPr="002D20BF" w:rsidRDefault="002B046C" w:rsidP="00DE28B2">
            <w:pPr>
              <w:pStyle w:val="NoSpacing"/>
            </w:pPr>
            <w:r w:rsidRPr="002D20BF">
              <w:t>2</w:t>
            </w:r>
          </w:p>
        </w:tc>
        <w:tc>
          <w:tcPr>
            <w:tcW w:w="5043" w:type="dxa"/>
          </w:tcPr>
          <w:p w:rsidR="002B046C" w:rsidRPr="002D20BF" w:rsidRDefault="002B046C" w:rsidP="00DE28B2">
            <w:pPr>
              <w:pStyle w:val="NoSpacing"/>
            </w:pPr>
            <w:r>
              <w:t>Technical Assistance</w:t>
            </w:r>
          </w:p>
          <w:p w:rsidR="002B046C" w:rsidRPr="002D20BF" w:rsidRDefault="002B046C" w:rsidP="00DE28B2">
            <w:pPr>
              <w:pStyle w:val="NoSpacing"/>
              <w:rPr>
                <w:b/>
              </w:rPr>
            </w:pPr>
            <w:r>
              <w:t>Diversify and expand the network of public, private and nonprofit providers of technical and financial assistance to ensure that on-farm support is available to meet the agricultural sector load reductions.</w:t>
            </w:r>
          </w:p>
        </w:tc>
        <w:tc>
          <w:tcPr>
            <w:tcW w:w="7215" w:type="dxa"/>
          </w:tcPr>
          <w:p w:rsidR="00B56FD2" w:rsidRDefault="00B56FD2" w:rsidP="00DE28B2">
            <w:pPr>
              <w:pStyle w:val="NoSpacing"/>
            </w:pPr>
            <w:r>
              <w:t>Ag Workgroup for recommendation.  Examples of areas to explore include:</w:t>
            </w:r>
          </w:p>
          <w:p w:rsidR="002B046C" w:rsidRDefault="002B046C" w:rsidP="00DE28B2">
            <w:pPr>
              <w:pStyle w:val="NoSpacing"/>
            </w:pPr>
            <w:r>
              <w:t>USDA – Contribution Agreements</w:t>
            </w:r>
          </w:p>
          <w:p w:rsidR="002B046C" w:rsidRPr="002D20BF" w:rsidRDefault="002B046C" w:rsidP="00DE28B2">
            <w:pPr>
              <w:pStyle w:val="NoSpacing"/>
            </w:pPr>
            <w:r>
              <w:t xml:space="preserve">NFWF – Through RFP process for SWG and INSR </w:t>
            </w:r>
          </w:p>
        </w:tc>
      </w:tr>
      <w:tr w:rsidR="002B046C" w:rsidTr="002B046C">
        <w:tc>
          <w:tcPr>
            <w:tcW w:w="517" w:type="dxa"/>
          </w:tcPr>
          <w:p w:rsidR="002B046C" w:rsidRPr="002D20BF" w:rsidRDefault="002B046C" w:rsidP="00DE28B2">
            <w:pPr>
              <w:pStyle w:val="NoSpacing"/>
            </w:pPr>
            <w:r w:rsidRPr="002D20BF">
              <w:t>3</w:t>
            </w:r>
          </w:p>
        </w:tc>
        <w:tc>
          <w:tcPr>
            <w:tcW w:w="5043" w:type="dxa"/>
          </w:tcPr>
          <w:p w:rsidR="002B046C" w:rsidRPr="002D20BF" w:rsidRDefault="002B046C" w:rsidP="00DE28B2">
            <w:pPr>
              <w:pStyle w:val="NoSpacing"/>
            </w:pPr>
            <w:r>
              <w:t>Technical Assistance</w:t>
            </w:r>
          </w:p>
          <w:p w:rsidR="002B046C" w:rsidRPr="002D20BF" w:rsidRDefault="002B046C" w:rsidP="00DE28B2">
            <w:pPr>
              <w:pStyle w:val="NoSpacing"/>
              <w:rPr>
                <w:b/>
              </w:rPr>
            </w:pPr>
            <w:r>
              <w:t>Expand technical assistance capacity through the use of cooperative agreements and other tools that combine federal, state, local and private resources to target priority agricultural resource concerns.</w:t>
            </w:r>
          </w:p>
        </w:tc>
        <w:tc>
          <w:tcPr>
            <w:tcW w:w="7215" w:type="dxa"/>
          </w:tcPr>
          <w:p w:rsidR="002B046C" w:rsidRPr="002D20BF" w:rsidRDefault="002B046C" w:rsidP="00DE28B2">
            <w:pPr>
              <w:pStyle w:val="NoSpacing"/>
            </w:pPr>
            <w:r>
              <w:t>To Ag Workgroup for recommendations</w:t>
            </w:r>
          </w:p>
        </w:tc>
      </w:tr>
    </w:tbl>
    <w:p w:rsidR="00E80C56" w:rsidRDefault="00E80C56">
      <w:r>
        <w:br w:type="page"/>
      </w:r>
    </w:p>
    <w:tbl>
      <w:tblPr>
        <w:tblStyle w:val="TableGrid"/>
        <w:tblW w:w="0" w:type="auto"/>
        <w:tblLook w:val="04A0" w:firstRow="1" w:lastRow="0" w:firstColumn="1" w:lastColumn="0" w:noHBand="0" w:noVBand="1"/>
      </w:tblPr>
      <w:tblGrid>
        <w:gridCol w:w="517"/>
        <w:gridCol w:w="5043"/>
        <w:gridCol w:w="7215"/>
      </w:tblGrid>
      <w:tr w:rsidR="002B046C" w:rsidTr="002B046C">
        <w:tc>
          <w:tcPr>
            <w:tcW w:w="517" w:type="dxa"/>
          </w:tcPr>
          <w:p w:rsidR="002B046C" w:rsidRPr="002D20BF" w:rsidRDefault="002B046C" w:rsidP="00DE28B2">
            <w:pPr>
              <w:pStyle w:val="NoSpacing"/>
            </w:pPr>
            <w:r w:rsidRPr="002D20BF">
              <w:lastRenderedPageBreak/>
              <w:t>4</w:t>
            </w:r>
          </w:p>
        </w:tc>
        <w:tc>
          <w:tcPr>
            <w:tcW w:w="5043" w:type="dxa"/>
          </w:tcPr>
          <w:p w:rsidR="002B046C" w:rsidRPr="005774D6" w:rsidRDefault="002B046C" w:rsidP="00DE28B2">
            <w:pPr>
              <w:pStyle w:val="NoSpacing"/>
            </w:pPr>
            <w:r w:rsidRPr="005774D6">
              <w:t>Technical Assistance</w:t>
            </w:r>
          </w:p>
          <w:p w:rsidR="002B046C" w:rsidRDefault="002B046C" w:rsidP="00DE28B2">
            <w:pPr>
              <w:pStyle w:val="NoSpacing"/>
              <w:rPr>
                <w:b/>
              </w:rPr>
            </w:pPr>
            <w:r>
              <w:t>Enhance and coordinate critical agricultural conservation programs to ensure they offer the flexibility and capacity needed to incentivize farmers to install practices, including riparian forest buffers, to help meet the goals of the Bay TMDL.</w:t>
            </w:r>
          </w:p>
        </w:tc>
        <w:tc>
          <w:tcPr>
            <w:tcW w:w="7215" w:type="dxa"/>
          </w:tcPr>
          <w:p w:rsidR="00E80C56" w:rsidRDefault="00E80C56" w:rsidP="00DE28B2">
            <w:pPr>
              <w:pStyle w:val="NoSpacing"/>
            </w:pPr>
            <w:r>
              <w:t>To Ag Workgroup for recommendations.  Example of a potential path forward may include:</w:t>
            </w:r>
          </w:p>
          <w:p w:rsidR="00E80C56" w:rsidRDefault="00E80C56" w:rsidP="00E80C56">
            <w:pPr>
              <w:pStyle w:val="NoSpacing"/>
              <w:numPr>
                <w:ilvl w:val="0"/>
                <w:numId w:val="5"/>
              </w:numPr>
            </w:pPr>
            <w:r>
              <w:t>CBP Convene listening sessions with farmers, stakeholders, etc to determine areas where flexibility and capacity are needed.</w:t>
            </w:r>
          </w:p>
          <w:p w:rsidR="002B046C" w:rsidRDefault="002B046C" w:rsidP="00E80C56">
            <w:pPr>
              <w:pStyle w:val="NoSpacing"/>
              <w:numPr>
                <w:ilvl w:val="0"/>
                <w:numId w:val="5"/>
              </w:numPr>
            </w:pPr>
            <w:r>
              <w:t>USDA – collect information on what specific needs farmers have through the outreach they are planning under their 3 year plan for the Chesapeake Bay</w:t>
            </w:r>
          </w:p>
          <w:p w:rsidR="002B046C" w:rsidRDefault="002B046C" w:rsidP="00DE28B2">
            <w:pPr>
              <w:pStyle w:val="NoSpacing"/>
            </w:pPr>
          </w:p>
          <w:p w:rsidR="002B046C" w:rsidRPr="002D20BF" w:rsidRDefault="002B046C" w:rsidP="00DE28B2">
            <w:pPr>
              <w:pStyle w:val="NoSpacing"/>
            </w:pPr>
          </w:p>
        </w:tc>
      </w:tr>
      <w:tr w:rsidR="002B046C" w:rsidTr="002B046C">
        <w:tc>
          <w:tcPr>
            <w:tcW w:w="517" w:type="dxa"/>
          </w:tcPr>
          <w:p w:rsidR="002B046C" w:rsidRPr="002D20BF" w:rsidRDefault="002B046C" w:rsidP="00DE28B2">
            <w:pPr>
              <w:pStyle w:val="NoSpacing"/>
            </w:pPr>
            <w:r w:rsidRPr="002D20BF">
              <w:t>5</w:t>
            </w:r>
          </w:p>
        </w:tc>
        <w:tc>
          <w:tcPr>
            <w:tcW w:w="5043" w:type="dxa"/>
          </w:tcPr>
          <w:p w:rsidR="002B046C" w:rsidRPr="002D20BF" w:rsidRDefault="002B046C" w:rsidP="00DE28B2">
            <w:pPr>
              <w:pStyle w:val="NoSpacing"/>
            </w:pPr>
            <w:r w:rsidRPr="002D20BF">
              <w:t>Workforce Development</w:t>
            </w:r>
          </w:p>
          <w:p w:rsidR="002B046C" w:rsidRDefault="002B046C" w:rsidP="00DE28B2">
            <w:pPr>
              <w:pStyle w:val="NoSpacing"/>
              <w:rPr>
                <w:b/>
              </w:rPr>
            </w:pPr>
            <w:r>
              <w:t>Enhance the job climate for government technical assistance professionals by exploring how to make training and certification more streamlined and accessible, along with the development of two-year certification programs, innovative training forums and education loan assistance programs.</w:t>
            </w:r>
          </w:p>
        </w:tc>
        <w:tc>
          <w:tcPr>
            <w:tcW w:w="7215" w:type="dxa"/>
          </w:tcPr>
          <w:p w:rsidR="002B046C" w:rsidRPr="002D20BF" w:rsidRDefault="002B046C" w:rsidP="00DE28B2">
            <w:pPr>
              <w:pStyle w:val="NoSpacing"/>
            </w:pPr>
            <w:r>
              <w:t xml:space="preserve">Ag Workgroup </w:t>
            </w:r>
            <w:r w:rsidR="00E80C56">
              <w:t xml:space="preserve">for recommendations.  Example of action </w:t>
            </w:r>
            <w:r>
              <w:t>– Convene a meeting with Land Grant universities</w:t>
            </w:r>
            <w:r w:rsidR="00E80C56">
              <w:t xml:space="preserve"> to explore what they are doing with certification, identify skills needed for that certification program to be acceptable to the TA providers.</w:t>
            </w:r>
          </w:p>
        </w:tc>
      </w:tr>
      <w:tr w:rsidR="002B046C" w:rsidTr="002B046C">
        <w:tc>
          <w:tcPr>
            <w:tcW w:w="517" w:type="dxa"/>
          </w:tcPr>
          <w:p w:rsidR="002B046C" w:rsidRPr="002D20BF" w:rsidRDefault="002B046C" w:rsidP="00DE28B2">
            <w:pPr>
              <w:pStyle w:val="NoSpacing"/>
            </w:pPr>
            <w:r w:rsidRPr="002D20BF">
              <w:t>6</w:t>
            </w:r>
          </w:p>
        </w:tc>
        <w:tc>
          <w:tcPr>
            <w:tcW w:w="5043" w:type="dxa"/>
          </w:tcPr>
          <w:p w:rsidR="002B046C" w:rsidRPr="002D20BF" w:rsidRDefault="002B046C" w:rsidP="00DE28B2">
            <w:pPr>
              <w:pStyle w:val="NoSpacing"/>
            </w:pPr>
            <w:r w:rsidRPr="002D20BF">
              <w:t>Evaluation</w:t>
            </w:r>
          </w:p>
          <w:p w:rsidR="002B046C" w:rsidRDefault="002B046C" w:rsidP="00DE28B2">
            <w:pPr>
              <w:pStyle w:val="NoSpacing"/>
              <w:rPr>
                <w:b/>
              </w:rPr>
            </w:pPr>
            <w:r>
              <w:t>Report on progress made toward this directive at the 2019 Chesapeake Executive Council meeting.</w:t>
            </w:r>
          </w:p>
        </w:tc>
        <w:tc>
          <w:tcPr>
            <w:tcW w:w="7215" w:type="dxa"/>
          </w:tcPr>
          <w:p w:rsidR="002B046C" w:rsidRPr="002D20BF" w:rsidRDefault="002B046C" w:rsidP="00DE28B2">
            <w:pPr>
              <w:pStyle w:val="NoSpacing"/>
            </w:pPr>
            <w:r>
              <w:t>Management Board</w:t>
            </w:r>
          </w:p>
        </w:tc>
      </w:tr>
    </w:tbl>
    <w:p w:rsidR="002D20BF" w:rsidRDefault="002D20BF" w:rsidP="00DE28B2">
      <w:pPr>
        <w:pStyle w:val="NoSpacing"/>
      </w:pPr>
    </w:p>
    <w:p w:rsidR="00F92CFC" w:rsidRDefault="00F92CFC" w:rsidP="00DE28B2">
      <w:pPr>
        <w:pStyle w:val="NoSpacing"/>
      </w:pPr>
    </w:p>
    <w:p w:rsidR="005774D6" w:rsidRDefault="005774D6" w:rsidP="00DE28B2">
      <w:pPr>
        <w:pStyle w:val="NoSpacing"/>
      </w:pPr>
    </w:p>
    <w:p w:rsidR="00E80C56" w:rsidRDefault="00E80C56">
      <w:pPr>
        <w:rPr>
          <w:rFonts w:ascii="Calibri" w:eastAsia="Times New Roman" w:hAnsi="Calibri" w:cs="Times New Roman"/>
          <w:b/>
          <w:sz w:val="32"/>
          <w:szCs w:val="32"/>
        </w:rPr>
      </w:pPr>
      <w:r>
        <w:rPr>
          <w:b/>
          <w:sz w:val="32"/>
          <w:szCs w:val="32"/>
        </w:rPr>
        <w:br w:type="page"/>
      </w:r>
    </w:p>
    <w:p w:rsidR="0001680D" w:rsidRPr="0019560D" w:rsidRDefault="003659F8" w:rsidP="00DE28B2">
      <w:pPr>
        <w:pStyle w:val="NoSpacing"/>
        <w:rPr>
          <w:b/>
          <w:sz w:val="32"/>
          <w:szCs w:val="32"/>
        </w:rPr>
      </w:pPr>
      <w:r w:rsidRPr="0019560D">
        <w:rPr>
          <w:b/>
          <w:sz w:val="32"/>
          <w:szCs w:val="32"/>
        </w:rPr>
        <w:t>Citizens’ Advisory Committee</w:t>
      </w:r>
    </w:p>
    <w:tbl>
      <w:tblPr>
        <w:tblStyle w:val="TableGrid"/>
        <w:tblW w:w="5000" w:type="pct"/>
        <w:tblLook w:val="04A0" w:firstRow="1" w:lastRow="0" w:firstColumn="1" w:lastColumn="0" w:noHBand="0" w:noVBand="1"/>
      </w:tblPr>
      <w:tblGrid>
        <w:gridCol w:w="637"/>
        <w:gridCol w:w="7055"/>
        <w:gridCol w:w="5258"/>
      </w:tblGrid>
      <w:tr w:rsidR="0001680D" w:rsidTr="00FF5BAF">
        <w:tc>
          <w:tcPr>
            <w:tcW w:w="246" w:type="pct"/>
          </w:tcPr>
          <w:p w:rsidR="0001680D" w:rsidRDefault="0001680D" w:rsidP="00DE28B2">
            <w:pPr>
              <w:pStyle w:val="NoSpacing"/>
            </w:pPr>
          </w:p>
        </w:tc>
        <w:tc>
          <w:tcPr>
            <w:tcW w:w="2723" w:type="pct"/>
          </w:tcPr>
          <w:p w:rsidR="0001680D" w:rsidRDefault="0019560D" w:rsidP="00DE28B2">
            <w:pPr>
              <w:pStyle w:val="NoSpacing"/>
            </w:pPr>
            <w:r>
              <w:t xml:space="preserve">Committee Recommendation </w:t>
            </w:r>
          </w:p>
        </w:tc>
        <w:tc>
          <w:tcPr>
            <w:tcW w:w="2030" w:type="pct"/>
          </w:tcPr>
          <w:p w:rsidR="0001680D" w:rsidRDefault="0019560D" w:rsidP="00DE28B2">
            <w:pPr>
              <w:pStyle w:val="NoSpacing"/>
            </w:pPr>
            <w:r>
              <w:t>Lead for Responding</w:t>
            </w:r>
          </w:p>
        </w:tc>
      </w:tr>
      <w:tr w:rsidR="0001680D" w:rsidTr="00FF5BAF">
        <w:tc>
          <w:tcPr>
            <w:tcW w:w="246" w:type="pct"/>
          </w:tcPr>
          <w:p w:rsidR="0001680D" w:rsidRDefault="0001680D" w:rsidP="00DE28B2">
            <w:pPr>
              <w:pStyle w:val="NoSpacing"/>
            </w:pPr>
            <w:r>
              <w:t>1</w:t>
            </w:r>
            <w:r w:rsidR="00FF5BAF">
              <w:t xml:space="preserve"> </w:t>
            </w:r>
          </w:p>
        </w:tc>
        <w:tc>
          <w:tcPr>
            <w:tcW w:w="2723" w:type="pct"/>
          </w:tcPr>
          <w:p w:rsidR="0001680D" w:rsidRDefault="00F43C44" w:rsidP="00DE28B2">
            <w:pPr>
              <w:pStyle w:val="NoSpacing"/>
            </w:pPr>
            <w:r>
              <w:t>Governance</w:t>
            </w:r>
          </w:p>
          <w:p w:rsidR="0001680D" w:rsidRPr="0001680D" w:rsidRDefault="00915218" w:rsidP="00DE28B2">
            <w:pPr>
              <w:pStyle w:val="NoSpacing"/>
              <w:numPr>
                <w:ilvl w:val="0"/>
                <w:numId w:val="2"/>
              </w:numPr>
            </w:pPr>
            <w:r>
              <w:t xml:space="preserve">Recommends continued advocacy for full federal funding for the Chesapeake Bay Program. </w:t>
            </w:r>
            <w:r w:rsidR="008365CC">
              <w:t xml:space="preserve"> </w:t>
            </w:r>
          </w:p>
        </w:tc>
        <w:tc>
          <w:tcPr>
            <w:tcW w:w="2030" w:type="pct"/>
          </w:tcPr>
          <w:p w:rsidR="0001680D" w:rsidRDefault="0001680D" w:rsidP="00DE28B2">
            <w:pPr>
              <w:pStyle w:val="NoSpacing"/>
            </w:pPr>
          </w:p>
          <w:p w:rsidR="000A7AE4" w:rsidRPr="002A7F9F" w:rsidRDefault="00DE28B2" w:rsidP="00DE28B2">
            <w:pPr>
              <w:pStyle w:val="NoSpacing"/>
            </w:pPr>
            <w:r>
              <w:t xml:space="preserve">CBC </w:t>
            </w:r>
          </w:p>
        </w:tc>
      </w:tr>
      <w:tr w:rsidR="0001680D" w:rsidTr="00FF5BAF">
        <w:tc>
          <w:tcPr>
            <w:tcW w:w="246" w:type="pct"/>
          </w:tcPr>
          <w:p w:rsidR="0001680D" w:rsidRDefault="00FF5BAF" w:rsidP="00DE28B2">
            <w:pPr>
              <w:pStyle w:val="NoSpacing"/>
            </w:pPr>
            <w:r>
              <w:t>2a</w:t>
            </w:r>
          </w:p>
        </w:tc>
        <w:tc>
          <w:tcPr>
            <w:tcW w:w="2723" w:type="pct"/>
          </w:tcPr>
          <w:p w:rsidR="00FF5BAF" w:rsidRPr="00FF5BAF" w:rsidRDefault="00FF5BAF" w:rsidP="00DE28B2">
            <w:pPr>
              <w:pStyle w:val="NoSpacing"/>
            </w:pPr>
            <w:r w:rsidRPr="00FF5BAF">
              <w:t>Phase III Watershed Implementation Plans and Local Planning Targets</w:t>
            </w:r>
          </w:p>
          <w:p w:rsidR="0001680D" w:rsidRPr="0001680D" w:rsidRDefault="00FF5BAF" w:rsidP="00DE28B2">
            <w:pPr>
              <w:pStyle w:val="NoSpacing"/>
              <w:numPr>
                <w:ilvl w:val="0"/>
                <w:numId w:val="2"/>
              </w:numPr>
            </w:pPr>
            <w:r>
              <w:t>Encourage jurisdictions to continue with the development of programmatic infrastructure and financial support for meaningful BMP verification as a part of implementation of Phase III WIPs, particularly in accounting for growth and land use changes as state in the EPA expectations document.</w:t>
            </w:r>
            <w:r w:rsidR="0001680D">
              <w:t xml:space="preserve"> </w:t>
            </w:r>
          </w:p>
        </w:tc>
        <w:tc>
          <w:tcPr>
            <w:tcW w:w="2030" w:type="pct"/>
          </w:tcPr>
          <w:p w:rsidR="0001680D" w:rsidRDefault="0001680D" w:rsidP="00DE28B2">
            <w:pPr>
              <w:pStyle w:val="NoSpacing"/>
            </w:pPr>
          </w:p>
          <w:p w:rsidR="00DE28B2" w:rsidRPr="00DE28B2" w:rsidRDefault="0063425E" w:rsidP="00DE28B2">
            <w:pPr>
              <w:pStyle w:val="NoSpacing"/>
            </w:pPr>
            <w:r>
              <w:t>WQ GIT</w:t>
            </w:r>
          </w:p>
        </w:tc>
      </w:tr>
      <w:tr w:rsidR="0001680D" w:rsidTr="00FF5BAF">
        <w:tc>
          <w:tcPr>
            <w:tcW w:w="246" w:type="pct"/>
          </w:tcPr>
          <w:p w:rsidR="0001680D" w:rsidRDefault="00FF5BAF" w:rsidP="00DE28B2">
            <w:pPr>
              <w:pStyle w:val="NoSpacing"/>
            </w:pPr>
            <w:r>
              <w:t>2b</w:t>
            </w:r>
          </w:p>
        </w:tc>
        <w:tc>
          <w:tcPr>
            <w:tcW w:w="2723" w:type="pct"/>
          </w:tcPr>
          <w:p w:rsidR="00FF5BAF" w:rsidRDefault="00FF5BAF" w:rsidP="00DE28B2">
            <w:pPr>
              <w:pStyle w:val="NoSpacing"/>
            </w:pPr>
            <w:r w:rsidRPr="00FF5BAF">
              <w:t>Phase III Watershed Implementation Plans and Local Planning Targets</w:t>
            </w:r>
          </w:p>
          <w:p w:rsidR="00FF5BAF" w:rsidRPr="00FF5BAF" w:rsidRDefault="00FF5BAF" w:rsidP="00DE28B2">
            <w:pPr>
              <w:pStyle w:val="NoSpacing"/>
              <w:numPr>
                <w:ilvl w:val="0"/>
                <w:numId w:val="2"/>
              </w:numPr>
              <w:rPr>
                <w:b/>
              </w:rPr>
            </w:pPr>
            <w:r>
              <w:t>Recommend the jurisdictions integrate Watershed Agreement outcomes into the water quality restoration plans as a way to incentivize practices that offer corollary ecological benefits and to encourage meaningful participation in local planning targets supporting local economies and communities.</w:t>
            </w:r>
          </w:p>
          <w:p w:rsidR="008365CC" w:rsidRPr="008365CC" w:rsidRDefault="008365CC" w:rsidP="00DE28B2">
            <w:pPr>
              <w:pStyle w:val="NoSpacing"/>
            </w:pPr>
          </w:p>
        </w:tc>
        <w:tc>
          <w:tcPr>
            <w:tcW w:w="2030" w:type="pct"/>
          </w:tcPr>
          <w:p w:rsidR="0001680D" w:rsidRDefault="0001680D" w:rsidP="00DE28B2">
            <w:pPr>
              <w:pStyle w:val="NoSpacing"/>
            </w:pPr>
          </w:p>
          <w:p w:rsidR="00DE28B2" w:rsidRDefault="0063425E" w:rsidP="00DE28B2">
            <w:pPr>
              <w:pStyle w:val="NoSpacing"/>
            </w:pPr>
            <w:r>
              <w:t>WQ GIT</w:t>
            </w:r>
          </w:p>
          <w:p w:rsidR="00DE28B2" w:rsidRPr="0050502F" w:rsidRDefault="00DE28B2" w:rsidP="00DE28B2">
            <w:pPr>
              <w:pStyle w:val="NoSpacing"/>
            </w:pPr>
          </w:p>
        </w:tc>
      </w:tr>
      <w:tr w:rsidR="0001680D" w:rsidTr="00FF5BAF">
        <w:tc>
          <w:tcPr>
            <w:tcW w:w="246" w:type="pct"/>
          </w:tcPr>
          <w:p w:rsidR="0001680D" w:rsidRDefault="00FF5BAF" w:rsidP="00DE28B2">
            <w:pPr>
              <w:pStyle w:val="NoSpacing"/>
            </w:pPr>
            <w:r>
              <w:t>3a</w:t>
            </w:r>
          </w:p>
        </w:tc>
        <w:tc>
          <w:tcPr>
            <w:tcW w:w="2723" w:type="pct"/>
          </w:tcPr>
          <w:p w:rsidR="0001680D" w:rsidRDefault="00FF5BAF" w:rsidP="00DE28B2">
            <w:pPr>
              <w:pStyle w:val="NoSpacing"/>
            </w:pPr>
            <w:r>
              <w:t>Forest buffers and wetlands</w:t>
            </w:r>
          </w:p>
          <w:p w:rsidR="008365CC" w:rsidRPr="008365CC" w:rsidRDefault="00293D8B" w:rsidP="00DE28B2">
            <w:pPr>
              <w:pStyle w:val="NoSpacing"/>
              <w:numPr>
                <w:ilvl w:val="0"/>
                <w:numId w:val="2"/>
              </w:numPr>
            </w:pPr>
            <w:r>
              <w:t>Develop programmatic, policy and financial capacity for increasing forest buffers and establish the Phase III IPs and two-year milestones.</w:t>
            </w:r>
            <w:r w:rsidR="000A7AE4">
              <w:t xml:space="preserve"> </w:t>
            </w:r>
          </w:p>
        </w:tc>
        <w:tc>
          <w:tcPr>
            <w:tcW w:w="2030" w:type="pct"/>
          </w:tcPr>
          <w:p w:rsidR="00DE28B2" w:rsidRDefault="00DE28B2" w:rsidP="00DE28B2">
            <w:pPr>
              <w:pStyle w:val="NoSpacing"/>
            </w:pPr>
          </w:p>
          <w:p w:rsidR="00DE28B2" w:rsidRDefault="0063425E" w:rsidP="00DE28B2">
            <w:pPr>
              <w:pStyle w:val="NoSpacing"/>
            </w:pPr>
            <w:r>
              <w:t>WQ GIT/Forestry WG</w:t>
            </w:r>
          </w:p>
          <w:p w:rsidR="0001680D" w:rsidRPr="008365CC" w:rsidRDefault="0001680D" w:rsidP="00DE28B2">
            <w:pPr>
              <w:pStyle w:val="NoSpacing"/>
            </w:pPr>
          </w:p>
        </w:tc>
      </w:tr>
      <w:tr w:rsidR="0001680D" w:rsidTr="006A2392">
        <w:trPr>
          <w:trHeight w:val="1412"/>
        </w:trPr>
        <w:tc>
          <w:tcPr>
            <w:tcW w:w="246" w:type="pct"/>
          </w:tcPr>
          <w:p w:rsidR="0001680D" w:rsidRDefault="00293D8B" w:rsidP="00DE28B2">
            <w:pPr>
              <w:pStyle w:val="NoSpacing"/>
            </w:pPr>
            <w:r>
              <w:t>3b</w:t>
            </w:r>
          </w:p>
        </w:tc>
        <w:tc>
          <w:tcPr>
            <w:tcW w:w="2723" w:type="pct"/>
          </w:tcPr>
          <w:p w:rsidR="00FF5BAF" w:rsidRDefault="00FF5BAF" w:rsidP="00DE28B2">
            <w:pPr>
              <w:pStyle w:val="NoSpacing"/>
            </w:pPr>
            <w:r>
              <w:t>Forest buffers and wetlands</w:t>
            </w:r>
          </w:p>
          <w:p w:rsidR="000A7AE4" w:rsidRPr="000A7AE4" w:rsidRDefault="00293D8B" w:rsidP="00DE28B2">
            <w:pPr>
              <w:pStyle w:val="NoSpacing"/>
              <w:numPr>
                <w:ilvl w:val="0"/>
                <w:numId w:val="2"/>
              </w:numPr>
            </w:pPr>
            <w:r>
              <w:t>Include technical assistance and education on multi-functional forest buffers like nut and fruit trees are riparian production crops on agricultural lands – as some U.S. jurisdictions and Central American countries have had great success.</w:t>
            </w:r>
          </w:p>
        </w:tc>
        <w:tc>
          <w:tcPr>
            <w:tcW w:w="2030" w:type="pct"/>
          </w:tcPr>
          <w:p w:rsidR="00DE28B2" w:rsidRDefault="00DE28B2" w:rsidP="00DE28B2">
            <w:pPr>
              <w:pStyle w:val="NoSpacing"/>
            </w:pPr>
          </w:p>
          <w:p w:rsidR="00DE28B2" w:rsidRDefault="0063425E" w:rsidP="00DE28B2">
            <w:pPr>
              <w:pStyle w:val="NoSpacing"/>
            </w:pPr>
            <w:r>
              <w:t>Forestry Workgroup/Wetlands Workgroup</w:t>
            </w:r>
          </w:p>
          <w:p w:rsidR="00DF624D" w:rsidRPr="000A7AE4" w:rsidRDefault="00DF624D" w:rsidP="00DE28B2">
            <w:pPr>
              <w:pStyle w:val="NoSpacing"/>
            </w:pPr>
          </w:p>
        </w:tc>
      </w:tr>
      <w:tr w:rsidR="0001680D" w:rsidTr="00FF5BAF">
        <w:tc>
          <w:tcPr>
            <w:tcW w:w="246" w:type="pct"/>
          </w:tcPr>
          <w:p w:rsidR="0001680D" w:rsidRDefault="00293D8B" w:rsidP="00DE28B2">
            <w:pPr>
              <w:pStyle w:val="NoSpacing"/>
            </w:pPr>
            <w:r>
              <w:t>3c</w:t>
            </w:r>
          </w:p>
        </w:tc>
        <w:tc>
          <w:tcPr>
            <w:tcW w:w="2723" w:type="pct"/>
          </w:tcPr>
          <w:p w:rsidR="00FF5BAF" w:rsidRDefault="00FF5BAF" w:rsidP="00DE28B2">
            <w:pPr>
              <w:pStyle w:val="NoSpacing"/>
            </w:pPr>
            <w:r>
              <w:t>Forest buffers and wetlands</w:t>
            </w:r>
          </w:p>
          <w:p w:rsidR="000A7AE4" w:rsidRPr="000A7AE4" w:rsidRDefault="00293D8B" w:rsidP="00DE28B2">
            <w:pPr>
              <w:pStyle w:val="NoSpacing"/>
              <w:numPr>
                <w:ilvl w:val="0"/>
                <w:numId w:val="2"/>
              </w:numPr>
            </w:pPr>
            <w:r>
              <w:t>Meet with the U.S. Secretary of Agriculture to encourage the prioritize area water goals.</w:t>
            </w:r>
            <w:r w:rsidR="005D6D1B">
              <w:t xml:space="preserve"> </w:t>
            </w:r>
          </w:p>
        </w:tc>
        <w:tc>
          <w:tcPr>
            <w:tcW w:w="2030" w:type="pct"/>
          </w:tcPr>
          <w:p w:rsidR="0001680D" w:rsidRDefault="0001680D" w:rsidP="00DE28B2">
            <w:pPr>
              <w:pStyle w:val="NoSpacing"/>
            </w:pPr>
          </w:p>
          <w:p w:rsidR="00DE28B2" w:rsidRPr="00513B71" w:rsidRDefault="00DE28B2" w:rsidP="00DE28B2">
            <w:pPr>
              <w:pStyle w:val="NoSpacing"/>
            </w:pPr>
            <w:r>
              <w:t>EPA</w:t>
            </w:r>
          </w:p>
        </w:tc>
      </w:tr>
      <w:tr w:rsidR="0001680D" w:rsidTr="00FF5BAF">
        <w:tc>
          <w:tcPr>
            <w:tcW w:w="246" w:type="pct"/>
          </w:tcPr>
          <w:p w:rsidR="0001680D" w:rsidRDefault="00293D8B" w:rsidP="00DE28B2">
            <w:pPr>
              <w:pStyle w:val="NoSpacing"/>
            </w:pPr>
            <w:r>
              <w:t>3d</w:t>
            </w:r>
          </w:p>
        </w:tc>
        <w:tc>
          <w:tcPr>
            <w:tcW w:w="2723" w:type="pct"/>
          </w:tcPr>
          <w:p w:rsidR="0001680D" w:rsidRDefault="006A2392" w:rsidP="00DE28B2">
            <w:pPr>
              <w:pStyle w:val="NoSpacing"/>
            </w:pPr>
            <w:r>
              <w:t>Forest buffers and wetlands</w:t>
            </w:r>
          </w:p>
          <w:p w:rsidR="006A2392" w:rsidRPr="00DE28B2" w:rsidRDefault="006A2392" w:rsidP="00DE28B2">
            <w:pPr>
              <w:pStyle w:val="NoSpacing"/>
              <w:numPr>
                <w:ilvl w:val="0"/>
                <w:numId w:val="2"/>
              </w:numPr>
              <w:rPr>
                <w:b/>
              </w:rPr>
            </w:pPr>
            <w:r>
              <w:t>Communicate to local implementers the co-be</w:t>
            </w:r>
            <w:r w:rsidR="003344B5">
              <w:t>ne</w:t>
            </w:r>
            <w:r>
              <w:t>fits and cost savings that buffers and wetlands provide in protecting drinking water sources and flood mitigation.</w:t>
            </w:r>
          </w:p>
          <w:p w:rsidR="00DE28B2" w:rsidRDefault="00DE28B2" w:rsidP="00DE28B2">
            <w:pPr>
              <w:pStyle w:val="NoSpacing"/>
            </w:pPr>
          </w:p>
        </w:tc>
        <w:tc>
          <w:tcPr>
            <w:tcW w:w="2030" w:type="pct"/>
          </w:tcPr>
          <w:p w:rsidR="00DE28B2" w:rsidRDefault="00DE28B2" w:rsidP="00DE28B2">
            <w:pPr>
              <w:pStyle w:val="NoSpacing"/>
            </w:pPr>
          </w:p>
          <w:p w:rsidR="00DE28B2" w:rsidRDefault="003344B5" w:rsidP="00DE28B2">
            <w:pPr>
              <w:pStyle w:val="NoSpacing"/>
            </w:pPr>
            <w:r>
              <w:t>WQ GIT/Forestry Workgroup</w:t>
            </w:r>
          </w:p>
          <w:p w:rsidR="0001680D" w:rsidRDefault="0001680D" w:rsidP="00DE28B2">
            <w:pPr>
              <w:pStyle w:val="NoSpacing"/>
            </w:pPr>
          </w:p>
        </w:tc>
      </w:tr>
      <w:tr w:rsidR="006A2392" w:rsidTr="00FF5BAF">
        <w:tc>
          <w:tcPr>
            <w:tcW w:w="246" w:type="pct"/>
          </w:tcPr>
          <w:p w:rsidR="006A2392" w:rsidRDefault="006A2392" w:rsidP="00DE28B2">
            <w:pPr>
              <w:pStyle w:val="NoSpacing"/>
            </w:pPr>
            <w:r>
              <w:t>3e</w:t>
            </w:r>
          </w:p>
        </w:tc>
        <w:tc>
          <w:tcPr>
            <w:tcW w:w="2723" w:type="pct"/>
          </w:tcPr>
          <w:p w:rsidR="006A2392" w:rsidRDefault="006A2392" w:rsidP="00DE28B2">
            <w:pPr>
              <w:pStyle w:val="NoSpacing"/>
            </w:pPr>
            <w:r>
              <w:t>Forest buffers and wetlands</w:t>
            </w:r>
          </w:p>
          <w:p w:rsidR="006A2392" w:rsidRPr="006A2392" w:rsidRDefault="006A2392" w:rsidP="00DE28B2">
            <w:pPr>
              <w:pStyle w:val="NoSpacing"/>
              <w:numPr>
                <w:ilvl w:val="0"/>
                <w:numId w:val="2"/>
              </w:numPr>
              <w:rPr>
                <w:b/>
              </w:rPr>
            </w:pPr>
            <w:r>
              <w:t>Reformulate state funding vehicles such as Section 319 Clean Water Act Grant programs and State Revolving Local Funds for forest buffers on non-agricultural lands.</w:t>
            </w:r>
          </w:p>
        </w:tc>
        <w:tc>
          <w:tcPr>
            <w:tcW w:w="2030" w:type="pct"/>
          </w:tcPr>
          <w:p w:rsidR="006A2392" w:rsidRDefault="006A2392" w:rsidP="00DE28B2">
            <w:pPr>
              <w:pStyle w:val="NoSpacing"/>
            </w:pPr>
          </w:p>
          <w:p w:rsidR="00DE28B2" w:rsidRPr="00DE28B2" w:rsidRDefault="00DE28B2" w:rsidP="00DE28B2">
            <w:pPr>
              <w:pStyle w:val="NoSpacing"/>
            </w:pPr>
            <w:r w:rsidRPr="00DE28B2">
              <w:t>EPA</w:t>
            </w:r>
          </w:p>
        </w:tc>
      </w:tr>
      <w:tr w:rsidR="006A2392" w:rsidTr="00FF5BAF">
        <w:tc>
          <w:tcPr>
            <w:tcW w:w="246" w:type="pct"/>
          </w:tcPr>
          <w:p w:rsidR="006A2392" w:rsidRDefault="006A2392" w:rsidP="00DE28B2">
            <w:pPr>
              <w:pStyle w:val="NoSpacing"/>
            </w:pPr>
            <w:r>
              <w:t>3f</w:t>
            </w:r>
          </w:p>
        </w:tc>
        <w:tc>
          <w:tcPr>
            <w:tcW w:w="2723" w:type="pct"/>
          </w:tcPr>
          <w:p w:rsidR="006A2392" w:rsidRDefault="006A2392" w:rsidP="00DE28B2">
            <w:pPr>
              <w:pStyle w:val="NoSpacing"/>
            </w:pPr>
            <w:r>
              <w:t>Forest buffers and wetlands</w:t>
            </w:r>
          </w:p>
          <w:p w:rsidR="006A2392" w:rsidRDefault="006A2392" w:rsidP="00DE28B2">
            <w:pPr>
              <w:pStyle w:val="NoSpacing"/>
              <w:numPr>
                <w:ilvl w:val="0"/>
                <w:numId w:val="2"/>
              </w:numPr>
            </w:pPr>
            <w:r>
              <w:t>Simplify the information and process the states provide for landowners to find and apply for Conservation Reserve Enhancement Program, Wetlands Reserve and other conservation practices.</w:t>
            </w:r>
          </w:p>
        </w:tc>
        <w:tc>
          <w:tcPr>
            <w:tcW w:w="2030" w:type="pct"/>
          </w:tcPr>
          <w:p w:rsidR="006A2392" w:rsidRDefault="006A2392" w:rsidP="00DE28B2">
            <w:pPr>
              <w:pStyle w:val="NoSpacing"/>
            </w:pPr>
          </w:p>
          <w:p w:rsidR="00DE28B2" w:rsidRDefault="003344B5" w:rsidP="00DE28B2">
            <w:pPr>
              <w:pStyle w:val="NoSpacing"/>
            </w:pPr>
            <w:r>
              <w:t>Ag Workgroup/WQ GIT</w:t>
            </w:r>
          </w:p>
        </w:tc>
      </w:tr>
      <w:tr w:rsidR="006A2392" w:rsidTr="00FF5BAF">
        <w:tc>
          <w:tcPr>
            <w:tcW w:w="246" w:type="pct"/>
          </w:tcPr>
          <w:p w:rsidR="006A2392" w:rsidRDefault="006A2392" w:rsidP="00DE28B2">
            <w:pPr>
              <w:pStyle w:val="NoSpacing"/>
            </w:pPr>
            <w:r>
              <w:t>4</w:t>
            </w:r>
            <w:r w:rsidR="00F43C44">
              <w:t>a</w:t>
            </w:r>
          </w:p>
        </w:tc>
        <w:tc>
          <w:tcPr>
            <w:tcW w:w="2723" w:type="pct"/>
          </w:tcPr>
          <w:p w:rsidR="006A2392" w:rsidRPr="00135AE2" w:rsidRDefault="006A2392" w:rsidP="00DE28B2">
            <w:pPr>
              <w:pStyle w:val="NoSpacing"/>
              <w:rPr>
                <w:highlight w:val="yellow"/>
              </w:rPr>
            </w:pPr>
            <w:r w:rsidRPr="00135AE2">
              <w:rPr>
                <w:highlight w:val="yellow"/>
              </w:rPr>
              <w:t>Environmental education and literacy</w:t>
            </w:r>
          </w:p>
          <w:p w:rsidR="006A2392" w:rsidRPr="00135AE2" w:rsidRDefault="006A2392" w:rsidP="00DE28B2">
            <w:pPr>
              <w:pStyle w:val="NoSpacing"/>
              <w:numPr>
                <w:ilvl w:val="0"/>
                <w:numId w:val="2"/>
              </w:numPr>
              <w:rPr>
                <w:highlight w:val="yellow"/>
              </w:rPr>
            </w:pPr>
            <w:r w:rsidRPr="00135AE2">
              <w:rPr>
                <w:highlight w:val="yellow"/>
              </w:rPr>
              <w:t>Encourage you to also consider going further and in</w:t>
            </w:r>
            <w:bookmarkStart w:id="0" w:name="_GoBack"/>
            <w:bookmarkEnd w:id="0"/>
            <w:r w:rsidRPr="00135AE2">
              <w:rPr>
                <w:highlight w:val="yellow"/>
              </w:rPr>
              <w:t>cluding elements of workforce development and training to support the next generation of stewards with options for living wage environmental careers such as: storm water control, water and wastewater operations; construction and maintenance of green infrastructure; stream rehabilitation; and pollution control and cleanup.</w:t>
            </w:r>
          </w:p>
        </w:tc>
        <w:tc>
          <w:tcPr>
            <w:tcW w:w="2030" w:type="pct"/>
          </w:tcPr>
          <w:p w:rsidR="006A2392" w:rsidRDefault="006A2392" w:rsidP="00DE28B2">
            <w:pPr>
              <w:pStyle w:val="NoSpacing"/>
            </w:pPr>
          </w:p>
          <w:p w:rsidR="00DE28B2" w:rsidRDefault="003344B5" w:rsidP="00DE28B2">
            <w:pPr>
              <w:pStyle w:val="NoSpacing"/>
            </w:pPr>
            <w:r>
              <w:t>Env Lit. Workgroup?</w:t>
            </w:r>
          </w:p>
        </w:tc>
      </w:tr>
      <w:tr w:rsidR="00F43C44" w:rsidTr="00FF5BAF">
        <w:tc>
          <w:tcPr>
            <w:tcW w:w="246" w:type="pct"/>
          </w:tcPr>
          <w:p w:rsidR="00F43C44" w:rsidRDefault="00F43C44" w:rsidP="00DE28B2">
            <w:pPr>
              <w:pStyle w:val="NoSpacing"/>
            </w:pPr>
            <w:r>
              <w:t>4b</w:t>
            </w:r>
          </w:p>
        </w:tc>
        <w:tc>
          <w:tcPr>
            <w:tcW w:w="2723" w:type="pct"/>
          </w:tcPr>
          <w:p w:rsidR="00F43C44" w:rsidRPr="00135AE2" w:rsidRDefault="00F43C44" w:rsidP="00DE28B2">
            <w:pPr>
              <w:pStyle w:val="NoSpacing"/>
              <w:rPr>
                <w:highlight w:val="yellow"/>
              </w:rPr>
            </w:pPr>
            <w:r w:rsidRPr="00135AE2">
              <w:rPr>
                <w:highlight w:val="yellow"/>
              </w:rPr>
              <w:t>Environmental education and literacy</w:t>
            </w:r>
          </w:p>
          <w:p w:rsidR="00F43C44" w:rsidRPr="00135AE2" w:rsidRDefault="00F43C44" w:rsidP="00DE28B2">
            <w:pPr>
              <w:pStyle w:val="NoSpacing"/>
              <w:numPr>
                <w:ilvl w:val="0"/>
                <w:numId w:val="2"/>
              </w:numPr>
              <w:rPr>
                <w:b/>
                <w:highlight w:val="yellow"/>
              </w:rPr>
            </w:pPr>
            <w:r w:rsidRPr="00135AE2">
              <w:rPr>
                <w:highlight w:val="yellow"/>
              </w:rPr>
              <w:t xml:space="preserve">Strongly encourage the jurisdictions that do not yet have the capacity to pursue all actions in the proposed Environmental Literacy directive to at least meet the baseline of participating in the conference of high-level leaders every two years to discuss progress of </w:t>
            </w:r>
            <w:r w:rsidRPr="00135AE2">
              <w:rPr>
                <w:i/>
                <w:highlight w:val="yellow"/>
              </w:rPr>
              <w:t>Watershed Agreement</w:t>
            </w:r>
            <w:r w:rsidRPr="00135AE2">
              <w:rPr>
                <w:highlight w:val="yellow"/>
              </w:rPr>
              <w:t xml:space="preserve"> Environmental Education goals and outcomes. Participation will increase understanding which can begin to build capacity based on the successful models used in other jurisdictions.</w:t>
            </w:r>
          </w:p>
        </w:tc>
        <w:tc>
          <w:tcPr>
            <w:tcW w:w="2030" w:type="pct"/>
          </w:tcPr>
          <w:p w:rsidR="00F43C44" w:rsidRDefault="00F43C44" w:rsidP="00DE28B2">
            <w:pPr>
              <w:pStyle w:val="NoSpacing"/>
            </w:pPr>
          </w:p>
          <w:p w:rsidR="00DE28B2" w:rsidRDefault="00DE28B2" w:rsidP="00DE28B2">
            <w:pPr>
              <w:pStyle w:val="NoSpacing"/>
            </w:pPr>
          </w:p>
          <w:p w:rsidR="00DE28B2" w:rsidRPr="00DE28B2" w:rsidRDefault="003344B5" w:rsidP="00DE28B2">
            <w:pPr>
              <w:pStyle w:val="NoSpacing"/>
            </w:pPr>
            <w:r>
              <w:t>Env. Lit. Workgroup?</w:t>
            </w:r>
          </w:p>
          <w:p w:rsidR="00DE28B2" w:rsidRDefault="00DE28B2" w:rsidP="00DE28B2">
            <w:pPr>
              <w:pStyle w:val="NoSpacing"/>
            </w:pPr>
          </w:p>
        </w:tc>
      </w:tr>
    </w:tbl>
    <w:p w:rsidR="0001680D" w:rsidRDefault="0001680D" w:rsidP="00DE28B2">
      <w:pPr>
        <w:pStyle w:val="NoSpacing"/>
      </w:pPr>
    </w:p>
    <w:p w:rsidR="007E46E6" w:rsidRDefault="007E46E6" w:rsidP="00DE28B2">
      <w:pPr>
        <w:pStyle w:val="NoSpacing"/>
      </w:pPr>
    </w:p>
    <w:p w:rsidR="00E80C56" w:rsidRDefault="00E80C56">
      <w:pPr>
        <w:rPr>
          <w:rFonts w:ascii="Calibri" w:eastAsia="Times New Roman" w:hAnsi="Calibri" w:cs="Times New Roman"/>
          <w:b/>
          <w:sz w:val="32"/>
          <w:szCs w:val="32"/>
        </w:rPr>
      </w:pPr>
      <w:r>
        <w:rPr>
          <w:b/>
          <w:sz w:val="32"/>
          <w:szCs w:val="32"/>
        </w:rPr>
        <w:br w:type="page"/>
      </w:r>
    </w:p>
    <w:p w:rsidR="00137627" w:rsidRPr="003344B5" w:rsidRDefault="00137627" w:rsidP="00DE28B2">
      <w:pPr>
        <w:pStyle w:val="NoSpacing"/>
        <w:rPr>
          <w:b/>
          <w:sz w:val="32"/>
          <w:szCs w:val="32"/>
        </w:rPr>
      </w:pPr>
      <w:r w:rsidRPr="003344B5">
        <w:rPr>
          <w:b/>
          <w:sz w:val="32"/>
          <w:szCs w:val="32"/>
        </w:rPr>
        <w:t>L</w:t>
      </w:r>
      <w:r w:rsidR="003659F8" w:rsidRPr="003344B5">
        <w:rPr>
          <w:b/>
          <w:sz w:val="32"/>
          <w:szCs w:val="32"/>
        </w:rPr>
        <w:t>ocal Government Advisory Committee</w:t>
      </w:r>
    </w:p>
    <w:tbl>
      <w:tblPr>
        <w:tblStyle w:val="TableGrid"/>
        <w:tblW w:w="5000" w:type="pct"/>
        <w:tblLook w:val="04A0" w:firstRow="1" w:lastRow="0" w:firstColumn="1" w:lastColumn="0" w:noHBand="0" w:noVBand="1"/>
      </w:tblPr>
      <w:tblGrid>
        <w:gridCol w:w="510"/>
        <w:gridCol w:w="7182"/>
        <w:gridCol w:w="5258"/>
      </w:tblGrid>
      <w:tr w:rsidR="00137627" w:rsidTr="00FF5BAF">
        <w:tc>
          <w:tcPr>
            <w:tcW w:w="197" w:type="pct"/>
          </w:tcPr>
          <w:p w:rsidR="00137627" w:rsidRDefault="00137627" w:rsidP="00DE28B2">
            <w:pPr>
              <w:pStyle w:val="NoSpacing"/>
            </w:pPr>
          </w:p>
        </w:tc>
        <w:tc>
          <w:tcPr>
            <w:tcW w:w="2773" w:type="pct"/>
          </w:tcPr>
          <w:p w:rsidR="00137627" w:rsidRDefault="003344B5" w:rsidP="00DE28B2">
            <w:pPr>
              <w:pStyle w:val="NoSpacing"/>
            </w:pPr>
            <w:r>
              <w:t>Committee Recommendations</w:t>
            </w:r>
          </w:p>
        </w:tc>
        <w:tc>
          <w:tcPr>
            <w:tcW w:w="2030" w:type="pct"/>
          </w:tcPr>
          <w:p w:rsidR="00137627" w:rsidRDefault="003344B5" w:rsidP="00DE28B2">
            <w:pPr>
              <w:pStyle w:val="NoSpacing"/>
            </w:pPr>
            <w:r>
              <w:t>Lead for Responding</w:t>
            </w:r>
          </w:p>
        </w:tc>
      </w:tr>
      <w:tr w:rsidR="00AB12F0" w:rsidTr="00FF5BAF">
        <w:tc>
          <w:tcPr>
            <w:tcW w:w="197" w:type="pct"/>
          </w:tcPr>
          <w:p w:rsidR="00AB12F0" w:rsidRDefault="00135AE2" w:rsidP="00DE28B2">
            <w:pPr>
              <w:pStyle w:val="NoSpacing"/>
            </w:pPr>
            <w:r>
              <w:t>1</w:t>
            </w:r>
            <w:r w:rsidR="00AB12F0">
              <w:t>a</w:t>
            </w:r>
          </w:p>
        </w:tc>
        <w:tc>
          <w:tcPr>
            <w:tcW w:w="2773" w:type="pct"/>
          </w:tcPr>
          <w:p w:rsidR="00AB12F0" w:rsidRDefault="00AB12F0" w:rsidP="00DE28B2">
            <w:pPr>
              <w:pStyle w:val="NoSpacing"/>
            </w:pPr>
            <w:r>
              <w:t>Local government engagement</w:t>
            </w:r>
          </w:p>
          <w:p w:rsidR="00AB12F0" w:rsidRPr="00AB12F0" w:rsidRDefault="00AB12F0" w:rsidP="00DE28B2">
            <w:pPr>
              <w:pStyle w:val="NoSpacing"/>
              <w:numPr>
                <w:ilvl w:val="0"/>
                <w:numId w:val="2"/>
              </w:numPr>
            </w:pPr>
            <w:r>
              <w:t>Create more opportunities to engage in open dialogue in meetings with local government officials.</w:t>
            </w:r>
          </w:p>
        </w:tc>
        <w:tc>
          <w:tcPr>
            <w:tcW w:w="2030" w:type="pct"/>
          </w:tcPr>
          <w:p w:rsidR="00DE28B2" w:rsidRDefault="00DE28B2" w:rsidP="00DE28B2">
            <w:pPr>
              <w:pStyle w:val="NoSpacing"/>
            </w:pPr>
          </w:p>
          <w:p w:rsidR="00DE28B2" w:rsidRPr="00DE28B2" w:rsidRDefault="00D37BC8" w:rsidP="00DE28B2">
            <w:pPr>
              <w:pStyle w:val="NoSpacing"/>
            </w:pPr>
            <w:r>
              <w:t>Communications Workgroup</w:t>
            </w:r>
          </w:p>
          <w:p w:rsidR="00AB12F0" w:rsidRDefault="00AB12F0" w:rsidP="00DE28B2">
            <w:pPr>
              <w:pStyle w:val="NoSpacing"/>
            </w:pPr>
          </w:p>
        </w:tc>
      </w:tr>
      <w:tr w:rsidR="00AB12F0" w:rsidTr="00FF5BAF">
        <w:tc>
          <w:tcPr>
            <w:tcW w:w="197" w:type="pct"/>
          </w:tcPr>
          <w:p w:rsidR="00AB12F0" w:rsidRDefault="00135AE2" w:rsidP="00DE28B2">
            <w:pPr>
              <w:pStyle w:val="NoSpacing"/>
            </w:pPr>
            <w:r>
              <w:t>1</w:t>
            </w:r>
            <w:r w:rsidR="00AB12F0">
              <w:t>b</w:t>
            </w:r>
          </w:p>
        </w:tc>
        <w:tc>
          <w:tcPr>
            <w:tcW w:w="2773" w:type="pct"/>
          </w:tcPr>
          <w:p w:rsidR="00AB12F0" w:rsidRPr="00C65503" w:rsidRDefault="00AB12F0" w:rsidP="00DE28B2">
            <w:pPr>
              <w:pStyle w:val="NoSpacing"/>
              <w:rPr>
                <w:highlight w:val="yellow"/>
              </w:rPr>
            </w:pPr>
            <w:r w:rsidRPr="00C65503">
              <w:rPr>
                <w:highlight w:val="yellow"/>
              </w:rPr>
              <w:t>Local government engagement</w:t>
            </w:r>
          </w:p>
          <w:p w:rsidR="00AB12F0" w:rsidRPr="00C65503" w:rsidRDefault="00AB12F0" w:rsidP="00DE28B2">
            <w:pPr>
              <w:pStyle w:val="NoSpacing"/>
              <w:numPr>
                <w:ilvl w:val="0"/>
                <w:numId w:val="2"/>
              </w:numPr>
              <w:rPr>
                <w:highlight w:val="yellow"/>
              </w:rPr>
            </w:pPr>
            <w:r w:rsidRPr="00C65503">
              <w:rPr>
                <w:highlight w:val="yellow"/>
              </w:rPr>
              <w:t xml:space="preserve">Provide clear direction from regulatory agencies on how to comply with statutory and regulatory requirements. </w:t>
            </w:r>
          </w:p>
        </w:tc>
        <w:tc>
          <w:tcPr>
            <w:tcW w:w="2030" w:type="pct"/>
          </w:tcPr>
          <w:p w:rsidR="00DE28B2" w:rsidRDefault="00DE28B2" w:rsidP="00DE28B2">
            <w:pPr>
              <w:pStyle w:val="NoSpacing"/>
            </w:pPr>
          </w:p>
          <w:p w:rsidR="00AB12F0" w:rsidRDefault="00D37BC8" w:rsidP="003344B5">
            <w:pPr>
              <w:pStyle w:val="NoSpacing"/>
            </w:pPr>
            <w:r>
              <w:t>?</w:t>
            </w:r>
          </w:p>
        </w:tc>
      </w:tr>
      <w:tr w:rsidR="00AB12F0" w:rsidTr="00FF5BAF">
        <w:tc>
          <w:tcPr>
            <w:tcW w:w="197" w:type="pct"/>
          </w:tcPr>
          <w:p w:rsidR="00AB12F0" w:rsidRDefault="00135AE2" w:rsidP="00DE28B2">
            <w:pPr>
              <w:pStyle w:val="NoSpacing"/>
            </w:pPr>
            <w:r>
              <w:t>1</w:t>
            </w:r>
            <w:r w:rsidR="00AB12F0">
              <w:t>c</w:t>
            </w:r>
          </w:p>
        </w:tc>
        <w:tc>
          <w:tcPr>
            <w:tcW w:w="2773" w:type="pct"/>
          </w:tcPr>
          <w:p w:rsidR="00AB12F0" w:rsidRPr="00C65503" w:rsidRDefault="00AB12F0" w:rsidP="00DE28B2">
            <w:pPr>
              <w:pStyle w:val="NoSpacing"/>
              <w:rPr>
                <w:highlight w:val="yellow"/>
              </w:rPr>
            </w:pPr>
            <w:r w:rsidRPr="00C65503">
              <w:rPr>
                <w:highlight w:val="yellow"/>
              </w:rPr>
              <w:t>Local government engagement</w:t>
            </w:r>
          </w:p>
          <w:p w:rsidR="00AB12F0" w:rsidRPr="00C65503" w:rsidRDefault="00AB12F0" w:rsidP="00DE28B2">
            <w:pPr>
              <w:pStyle w:val="NoSpacing"/>
              <w:numPr>
                <w:ilvl w:val="0"/>
                <w:numId w:val="2"/>
              </w:numPr>
              <w:rPr>
                <w:b/>
                <w:highlight w:val="yellow"/>
              </w:rPr>
            </w:pPr>
            <w:r w:rsidRPr="00C65503">
              <w:rPr>
                <w:highlight w:val="yellow"/>
              </w:rPr>
              <w:t>Regulatory agencies should work closely with local government trusted sources to ensure that regulatory requirements and other vital information is broadly disseminated.</w:t>
            </w:r>
          </w:p>
        </w:tc>
        <w:tc>
          <w:tcPr>
            <w:tcW w:w="2030" w:type="pct"/>
          </w:tcPr>
          <w:p w:rsidR="00DE28B2" w:rsidRDefault="00DE28B2" w:rsidP="00DE28B2">
            <w:pPr>
              <w:pStyle w:val="NoSpacing"/>
            </w:pPr>
          </w:p>
          <w:p w:rsidR="00AB12F0" w:rsidRDefault="00D37BC8" w:rsidP="003344B5">
            <w:pPr>
              <w:pStyle w:val="NoSpacing"/>
            </w:pPr>
            <w:r>
              <w:t>?</w:t>
            </w:r>
          </w:p>
        </w:tc>
      </w:tr>
      <w:tr w:rsidR="00AB12F0" w:rsidTr="00FF5BAF">
        <w:tc>
          <w:tcPr>
            <w:tcW w:w="197" w:type="pct"/>
          </w:tcPr>
          <w:p w:rsidR="00AB12F0" w:rsidRDefault="00135AE2" w:rsidP="00DE28B2">
            <w:pPr>
              <w:pStyle w:val="NoSpacing"/>
            </w:pPr>
            <w:r>
              <w:t>2</w:t>
            </w:r>
            <w:r w:rsidR="00AB12F0">
              <w:t>a</w:t>
            </w:r>
          </w:p>
        </w:tc>
        <w:tc>
          <w:tcPr>
            <w:tcW w:w="2773" w:type="pct"/>
          </w:tcPr>
          <w:p w:rsidR="00AB12F0" w:rsidRDefault="00AB12F0" w:rsidP="00DE28B2">
            <w:pPr>
              <w:pStyle w:val="NoSpacing"/>
            </w:pPr>
            <w:r>
              <w:t>Tools and Resources</w:t>
            </w:r>
          </w:p>
          <w:p w:rsidR="00AB12F0" w:rsidRPr="00AB12F0" w:rsidRDefault="00AB12F0" w:rsidP="00DE28B2">
            <w:pPr>
              <w:pStyle w:val="NoSpacing"/>
              <w:numPr>
                <w:ilvl w:val="0"/>
                <w:numId w:val="2"/>
              </w:numPr>
              <w:rPr>
                <w:b/>
              </w:rPr>
            </w:pPr>
            <w:r>
              <w:t>Recommend an evaluation of the nature, sufficiency and scope of technical assistance resources and program available to local governments be conducted for the purpose of establishing new, re-tooling existing, or expanding state and/or federal programs to achieve greater effectiveness in WIP implementation.</w:t>
            </w:r>
          </w:p>
        </w:tc>
        <w:tc>
          <w:tcPr>
            <w:tcW w:w="2030" w:type="pct"/>
          </w:tcPr>
          <w:p w:rsidR="00AB12F0" w:rsidRDefault="00AB12F0" w:rsidP="00DE28B2">
            <w:pPr>
              <w:pStyle w:val="NoSpacing"/>
            </w:pPr>
          </w:p>
          <w:p w:rsidR="00DE28B2" w:rsidRDefault="00DE28B2" w:rsidP="00DE28B2">
            <w:pPr>
              <w:pStyle w:val="NoSpacing"/>
            </w:pPr>
            <w:r>
              <w:t>CBPO</w:t>
            </w:r>
          </w:p>
        </w:tc>
      </w:tr>
      <w:tr w:rsidR="00AB12F0" w:rsidTr="00FF5BAF">
        <w:tc>
          <w:tcPr>
            <w:tcW w:w="197" w:type="pct"/>
          </w:tcPr>
          <w:p w:rsidR="00AB12F0" w:rsidRDefault="00135AE2" w:rsidP="00DE28B2">
            <w:pPr>
              <w:pStyle w:val="NoSpacing"/>
            </w:pPr>
            <w:r>
              <w:t>2</w:t>
            </w:r>
            <w:r w:rsidR="00AB12F0">
              <w:t>b</w:t>
            </w:r>
          </w:p>
        </w:tc>
        <w:tc>
          <w:tcPr>
            <w:tcW w:w="2773" w:type="pct"/>
          </w:tcPr>
          <w:p w:rsidR="00AB12F0" w:rsidRDefault="00AB12F0" w:rsidP="00DE28B2">
            <w:pPr>
              <w:pStyle w:val="NoSpacing"/>
            </w:pPr>
            <w:r>
              <w:t>Tools and Resources</w:t>
            </w:r>
          </w:p>
          <w:p w:rsidR="006E3093" w:rsidRPr="006E3093" w:rsidRDefault="00AB12F0" w:rsidP="00DE28B2">
            <w:pPr>
              <w:pStyle w:val="NoSpacing"/>
              <w:numPr>
                <w:ilvl w:val="0"/>
                <w:numId w:val="2"/>
              </w:numPr>
              <w:rPr>
                <w:b/>
              </w:rPr>
            </w:pPr>
            <w:r>
              <w:t>Encourage Executive Council members to participate in LGAC’s September 2018 Local Government Forum which will focus on filling gaps at the local level.</w:t>
            </w:r>
          </w:p>
        </w:tc>
        <w:tc>
          <w:tcPr>
            <w:tcW w:w="2030" w:type="pct"/>
          </w:tcPr>
          <w:p w:rsidR="00AB12F0" w:rsidRDefault="003344B5" w:rsidP="00DE28B2">
            <w:pPr>
              <w:pStyle w:val="NoSpacing"/>
            </w:pPr>
            <w:r>
              <w:t>Forum already occurred</w:t>
            </w:r>
          </w:p>
        </w:tc>
      </w:tr>
    </w:tbl>
    <w:p w:rsidR="00E80C56" w:rsidRDefault="00E80C56">
      <w:r>
        <w:br w:type="page"/>
      </w:r>
    </w:p>
    <w:tbl>
      <w:tblPr>
        <w:tblStyle w:val="TableGrid"/>
        <w:tblW w:w="5000" w:type="pct"/>
        <w:tblLook w:val="04A0" w:firstRow="1" w:lastRow="0" w:firstColumn="1" w:lastColumn="0" w:noHBand="0" w:noVBand="1"/>
      </w:tblPr>
      <w:tblGrid>
        <w:gridCol w:w="510"/>
        <w:gridCol w:w="7182"/>
        <w:gridCol w:w="5258"/>
      </w:tblGrid>
      <w:tr w:rsidR="006E3093" w:rsidTr="00FF5BAF">
        <w:tc>
          <w:tcPr>
            <w:tcW w:w="197" w:type="pct"/>
          </w:tcPr>
          <w:p w:rsidR="006E3093" w:rsidRDefault="00135AE2" w:rsidP="00DE28B2">
            <w:pPr>
              <w:pStyle w:val="NoSpacing"/>
            </w:pPr>
            <w:r>
              <w:t>3</w:t>
            </w:r>
            <w:r w:rsidR="00F92CFC">
              <w:t>a</w:t>
            </w:r>
          </w:p>
        </w:tc>
        <w:tc>
          <w:tcPr>
            <w:tcW w:w="2773" w:type="pct"/>
          </w:tcPr>
          <w:p w:rsidR="006E3093" w:rsidRPr="001C2D81" w:rsidRDefault="006E3093" w:rsidP="00DE28B2">
            <w:pPr>
              <w:pStyle w:val="NoSpacing"/>
              <w:rPr>
                <w:highlight w:val="yellow"/>
              </w:rPr>
            </w:pPr>
            <w:r w:rsidRPr="001C2D81">
              <w:rPr>
                <w:highlight w:val="yellow"/>
              </w:rPr>
              <w:t>Workforce Development</w:t>
            </w:r>
          </w:p>
          <w:p w:rsidR="006E3093" w:rsidRPr="006E3093" w:rsidRDefault="00F92CFC" w:rsidP="00DE28B2">
            <w:pPr>
              <w:pStyle w:val="NoSpacing"/>
              <w:numPr>
                <w:ilvl w:val="0"/>
                <w:numId w:val="2"/>
              </w:numPr>
              <w:rPr>
                <w:b/>
              </w:rPr>
            </w:pPr>
            <w:r w:rsidRPr="001C2D81">
              <w:rPr>
                <w:highlight w:val="yellow"/>
              </w:rPr>
              <w:t>Jurisdictions should support local government staffing gaps, programs to train targeted groups (including offenders, veterans and other disadvantaged populations) to perform such functions as installing and maintaining green infrastructure.</w:t>
            </w:r>
          </w:p>
        </w:tc>
        <w:tc>
          <w:tcPr>
            <w:tcW w:w="2030" w:type="pct"/>
          </w:tcPr>
          <w:p w:rsidR="00DE28B2" w:rsidRPr="00DE28B2" w:rsidRDefault="001C2D81" w:rsidP="00DE28B2">
            <w:pPr>
              <w:pStyle w:val="NoSpacing"/>
            </w:pPr>
            <w:r>
              <w:t>?</w:t>
            </w:r>
          </w:p>
          <w:p w:rsidR="006E3093" w:rsidRDefault="006E3093" w:rsidP="00DE28B2">
            <w:pPr>
              <w:pStyle w:val="NoSpacing"/>
            </w:pPr>
          </w:p>
        </w:tc>
      </w:tr>
      <w:tr w:rsidR="00F92CFC" w:rsidTr="00FF5BAF">
        <w:tc>
          <w:tcPr>
            <w:tcW w:w="197" w:type="pct"/>
          </w:tcPr>
          <w:p w:rsidR="00F92CFC" w:rsidRDefault="00135AE2" w:rsidP="00DE28B2">
            <w:pPr>
              <w:pStyle w:val="NoSpacing"/>
            </w:pPr>
            <w:r>
              <w:t>3</w:t>
            </w:r>
            <w:r w:rsidR="00F92CFC">
              <w:t>b</w:t>
            </w:r>
          </w:p>
        </w:tc>
        <w:tc>
          <w:tcPr>
            <w:tcW w:w="2773" w:type="pct"/>
          </w:tcPr>
          <w:p w:rsidR="00F92CFC" w:rsidRPr="001C2D81" w:rsidRDefault="00F92CFC" w:rsidP="00DE28B2">
            <w:pPr>
              <w:pStyle w:val="NoSpacing"/>
              <w:rPr>
                <w:highlight w:val="yellow"/>
              </w:rPr>
            </w:pPr>
            <w:r w:rsidRPr="001C2D81">
              <w:rPr>
                <w:highlight w:val="yellow"/>
              </w:rPr>
              <w:t>Workforce Development</w:t>
            </w:r>
          </w:p>
          <w:p w:rsidR="00F92CFC" w:rsidRPr="00F92CFC" w:rsidRDefault="00F92CFC" w:rsidP="00DE28B2">
            <w:pPr>
              <w:pStyle w:val="NoSpacing"/>
              <w:numPr>
                <w:ilvl w:val="0"/>
                <w:numId w:val="2"/>
              </w:numPr>
              <w:rPr>
                <w:b/>
              </w:rPr>
            </w:pPr>
            <w:r w:rsidRPr="001C2D81">
              <w:rPr>
                <w:highlight w:val="yellow"/>
              </w:rPr>
              <w:t>Jurisdictions should support a student loan forgiveness program for people who choose to work in the public sector.</w:t>
            </w:r>
          </w:p>
        </w:tc>
        <w:tc>
          <w:tcPr>
            <w:tcW w:w="2030" w:type="pct"/>
          </w:tcPr>
          <w:p w:rsidR="00DE28B2" w:rsidRDefault="00DE28B2" w:rsidP="00DE28B2">
            <w:pPr>
              <w:pStyle w:val="NoSpacing"/>
            </w:pPr>
          </w:p>
          <w:p w:rsidR="00DE28B2" w:rsidRPr="00DE28B2" w:rsidRDefault="001C2D81" w:rsidP="00DE28B2">
            <w:pPr>
              <w:pStyle w:val="NoSpacing"/>
            </w:pPr>
            <w:r>
              <w:t>?</w:t>
            </w:r>
          </w:p>
          <w:p w:rsidR="00F92CFC" w:rsidRDefault="00F92CFC" w:rsidP="00DE28B2">
            <w:pPr>
              <w:pStyle w:val="NoSpacing"/>
            </w:pPr>
          </w:p>
        </w:tc>
      </w:tr>
    </w:tbl>
    <w:p w:rsidR="00137627" w:rsidRDefault="00137627" w:rsidP="00DE28B2">
      <w:pPr>
        <w:pStyle w:val="NoSpacing"/>
      </w:pPr>
    </w:p>
    <w:p w:rsidR="005D6D1B" w:rsidRDefault="005D6D1B" w:rsidP="00DE28B2">
      <w:pPr>
        <w:pStyle w:val="NoSpacing"/>
      </w:pPr>
    </w:p>
    <w:p w:rsidR="005774D6" w:rsidRDefault="005774D6" w:rsidP="00DE28B2">
      <w:pPr>
        <w:pStyle w:val="NoSpacing"/>
      </w:pPr>
    </w:p>
    <w:p w:rsidR="005774D6" w:rsidRDefault="005774D6" w:rsidP="00DE28B2">
      <w:pPr>
        <w:pStyle w:val="NoSpacing"/>
      </w:pPr>
    </w:p>
    <w:p w:rsidR="005774D6" w:rsidRDefault="005774D6" w:rsidP="00DE28B2">
      <w:pPr>
        <w:pStyle w:val="NoSpacing"/>
      </w:pPr>
    </w:p>
    <w:p w:rsidR="005D6D1B" w:rsidRPr="001C2D81" w:rsidRDefault="005D6D1B" w:rsidP="00DE28B2">
      <w:pPr>
        <w:pStyle w:val="NoSpacing"/>
        <w:rPr>
          <w:b/>
          <w:sz w:val="32"/>
          <w:szCs w:val="32"/>
        </w:rPr>
      </w:pPr>
      <w:r w:rsidRPr="001C2D81">
        <w:rPr>
          <w:b/>
          <w:sz w:val="32"/>
          <w:szCs w:val="32"/>
        </w:rPr>
        <w:t>S</w:t>
      </w:r>
      <w:r w:rsidR="003659F8" w:rsidRPr="001C2D81">
        <w:rPr>
          <w:b/>
          <w:sz w:val="32"/>
          <w:szCs w:val="32"/>
        </w:rPr>
        <w:t>cientific &amp; Technical Advisory Committee</w:t>
      </w:r>
    </w:p>
    <w:tbl>
      <w:tblPr>
        <w:tblStyle w:val="TableGrid"/>
        <w:tblW w:w="5000" w:type="pct"/>
        <w:tblLook w:val="04A0" w:firstRow="1" w:lastRow="0" w:firstColumn="1" w:lastColumn="0" w:noHBand="0" w:noVBand="1"/>
      </w:tblPr>
      <w:tblGrid>
        <w:gridCol w:w="510"/>
        <w:gridCol w:w="7182"/>
        <w:gridCol w:w="5258"/>
      </w:tblGrid>
      <w:tr w:rsidR="005D6D1B" w:rsidTr="00B5409C">
        <w:tc>
          <w:tcPr>
            <w:tcW w:w="197" w:type="pct"/>
          </w:tcPr>
          <w:p w:rsidR="005D6D1B" w:rsidRDefault="005D6D1B" w:rsidP="00DE28B2">
            <w:pPr>
              <w:pStyle w:val="NoSpacing"/>
            </w:pPr>
          </w:p>
        </w:tc>
        <w:tc>
          <w:tcPr>
            <w:tcW w:w="2773" w:type="pct"/>
          </w:tcPr>
          <w:p w:rsidR="005D6D1B" w:rsidRDefault="001C2D81" w:rsidP="00DE28B2">
            <w:pPr>
              <w:pStyle w:val="NoSpacing"/>
            </w:pPr>
            <w:r>
              <w:t>Committee Recommendation</w:t>
            </w:r>
          </w:p>
        </w:tc>
        <w:tc>
          <w:tcPr>
            <w:tcW w:w="2030" w:type="pct"/>
          </w:tcPr>
          <w:p w:rsidR="005D6D1B" w:rsidRDefault="001C2D81" w:rsidP="00DE28B2">
            <w:pPr>
              <w:pStyle w:val="NoSpacing"/>
            </w:pPr>
            <w:r>
              <w:t>Lead for Responding</w:t>
            </w:r>
          </w:p>
        </w:tc>
      </w:tr>
      <w:tr w:rsidR="005D6D1B" w:rsidTr="00B5409C">
        <w:tc>
          <w:tcPr>
            <w:tcW w:w="197" w:type="pct"/>
          </w:tcPr>
          <w:p w:rsidR="005D6D1B" w:rsidRDefault="00A0712A" w:rsidP="00DE28B2">
            <w:pPr>
              <w:pStyle w:val="NoSpacing"/>
            </w:pPr>
            <w:r>
              <w:t>1</w:t>
            </w:r>
            <w:r w:rsidR="00F92CFC">
              <w:t>a</w:t>
            </w:r>
          </w:p>
        </w:tc>
        <w:tc>
          <w:tcPr>
            <w:tcW w:w="2773" w:type="pct"/>
          </w:tcPr>
          <w:p w:rsidR="00137627" w:rsidRPr="00137627" w:rsidRDefault="00F92CFC" w:rsidP="00DE28B2">
            <w:pPr>
              <w:pStyle w:val="NoSpacing"/>
            </w:pPr>
            <w:r>
              <w:t>Climate Change</w:t>
            </w:r>
          </w:p>
          <w:p w:rsidR="005D6D1B" w:rsidRPr="00137627" w:rsidRDefault="00F92CFC" w:rsidP="00DE28B2">
            <w:pPr>
              <w:pStyle w:val="NoSpacing"/>
              <w:numPr>
                <w:ilvl w:val="0"/>
                <w:numId w:val="2"/>
              </w:numPr>
              <w:rPr>
                <w:b/>
              </w:rPr>
            </w:pPr>
            <w:r>
              <w:t>Consider effects of climate change on water quality and ecosystem health and ensure restoration successes continue as we move forward.</w:t>
            </w:r>
          </w:p>
        </w:tc>
        <w:tc>
          <w:tcPr>
            <w:tcW w:w="2030" w:type="pct"/>
          </w:tcPr>
          <w:p w:rsidR="005D6D1B" w:rsidRDefault="005D6D1B" w:rsidP="00DE28B2">
            <w:pPr>
              <w:pStyle w:val="NoSpacing"/>
            </w:pPr>
          </w:p>
          <w:p w:rsidR="00DE28B2" w:rsidRDefault="00DE28B2" w:rsidP="00DE28B2">
            <w:pPr>
              <w:pStyle w:val="NoSpacing"/>
            </w:pPr>
            <w:r>
              <w:t>Climate Workgroup, WQGIT, STAR and STAC</w:t>
            </w:r>
          </w:p>
        </w:tc>
      </w:tr>
      <w:tr w:rsidR="005D6D1B" w:rsidTr="00B5409C">
        <w:tc>
          <w:tcPr>
            <w:tcW w:w="197" w:type="pct"/>
          </w:tcPr>
          <w:p w:rsidR="005D6D1B" w:rsidRDefault="00F92CFC" w:rsidP="00DE28B2">
            <w:pPr>
              <w:pStyle w:val="NoSpacing"/>
            </w:pPr>
            <w:r>
              <w:t>1b</w:t>
            </w:r>
          </w:p>
        </w:tc>
        <w:tc>
          <w:tcPr>
            <w:tcW w:w="2773" w:type="pct"/>
          </w:tcPr>
          <w:p w:rsidR="00F92CFC" w:rsidRDefault="00F92CFC" w:rsidP="00DE28B2">
            <w:pPr>
              <w:pStyle w:val="NoSpacing"/>
            </w:pPr>
            <w:r>
              <w:t>Climate Change</w:t>
            </w:r>
          </w:p>
          <w:p w:rsidR="00F92CFC" w:rsidRPr="00F92CFC" w:rsidRDefault="00F92CFC" w:rsidP="00DE28B2">
            <w:pPr>
              <w:pStyle w:val="NoSpacing"/>
              <w:numPr>
                <w:ilvl w:val="0"/>
                <w:numId w:val="2"/>
              </w:numPr>
              <w:rPr>
                <w:b/>
              </w:rPr>
            </w:pPr>
            <w:r>
              <w:t>Support better understanding, predictive tools and adaptive approaches in order to respond effectively to existing and future climate-related threats.</w:t>
            </w:r>
          </w:p>
        </w:tc>
        <w:tc>
          <w:tcPr>
            <w:tcW w:w="2030" w:type="pct"/>
          </w:tcPr>
          <w:p w:rsidR="005D6D1B" w:rsidRDefault="005D6D1B" w:rsidP="00DE28B2">
            <w:pPr>
              <w:pStyle w:val="NoSpacing"/>
            </w:pPr>
          </w:p>
          <w:p w:rsidR="00DE28B2" w:rsidRPr="00DF529B" w:rsidRDefault="00DE28B2" w:rsidP="00DE28B2">
            <w:pPr>
              <w:pStyle w:val="NoSpacing"/>
            </w:pPr>
            <w:r>
              <w:t>STAC and STAR</w:t>
            </w:r>
          </w:p>
        </w:tc>
      </w:tr>
    </w:tbl>
    <w:p w:rsidR="0001680D" w:rsidRDefault="0001680D"/>
    <w:sectPr w:rsidR="0001680D" w:rsidSect="00915218">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EE3" w:rsidRDefault="00446EE3" w:rsidP="002B046C">
      <w:pPr>
        <w:spacing w:after="0"/>
      </w:pPr>
      <w:r>
        <w:separator/>
      </w:r>
    </w:p>
  </w:endnote>
  <w:endnote w:type="continuationSeparator" w:id="0">
    <w:p w:rsidR="00446EE3" w:rsidRDefault="00446EE3" w:rsidP="002B04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871971"/>
      <w:docPartObj>
        <w:docPartGallery w:val="Page Numbers (Bottom of Page)"/>
        <w:docPartUnique/>
      </w:docPartObj>
    </w:sdtPr>
    <w:sdtEndPr>
      <w:rPr>
        <w:noProof/>
      </w:rPr>
    </w:sdtEndPr>
    <w:sdtContent>
      <w:p w:rsidR="00E80C56" w:rsidRDefault="00E80C56">
        <w:pPr>
          <w:pStyle w:val="Footer"/>
          <w:jc w:val="center"/>
        </w:pPr>
        <w:r>
          <w:fldChar w:fldCharType="begin"/>
        </w:r>
        <w:r>
          <w:instrText xml:space="preserve"> PAGE   \* MERGEFORMAT </w:instrText>
        </w:r>
        <w:r>
          <w:fldChar w:fldCharType="separate"/>
        </w:r>
        <w:r w:rsidR="00135AE2">
          <w:rPr>
            <w:noProof/>
          </w:rPr>
          <w:t>1</w:t>
        </w:r>
        <w:r>
          <w:rPr>
            <w:noProof/>
          </w:rPr>
          <w:fldChar w:fldCharType="end"/>
        </w:r>
      </w:p>
    </w:sdtContent>
  </w:sdt>
  <w:p w:rsidR="002B046C" w:rsidRDefault="002B0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EE3" w:rsidRDefault="00446EE3" w:rsidP="002B046C">
      <w:pPr>
        <w:spacing w:after="0"/>
      </w:pPr>
      <w:r>
        <w:separator/>
      </w:r>
    </w:p>
  </w:footnote>
  <w:footnote w:type="continuationSeparator" w:id="0">
    <w:p w:rsidR="00446EE3" w:rsidRDefault="00446EE3" w:rsidP="002B04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46724"/>
      <w:docPartObj>
        <w:docPartGallery w:val="Watermarks"/>
        <w:docPartUnique/>
      </w:docPartObj>
    </w:sdtPr>
    <w:sdtEndPr/>
    <w:sdtContent>
      <w:p w:rsidR="002B046C" w:rsidRDefault="00135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A79E9"/>
    <w:multiLevelType w:val="hybridMultilevel"/>
    <w:tmpl w:val="CC8EDC1A"/>
    <w:lvl w:ilvl="0" w:tplc="072EE32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9C4E88"/>
    <w:multiLevelType w:val="hybridMultilevel"/>
    <w:tmpl w:val="9222A46A"/>
    <w:lvl w:ilvl="0" w:tplc="31FAAC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25F0B"/>
    <w:multiLevelType w:val="hybridMultilevel"/>
    <w:tmpl w:val="0136D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4128B"/>
    <w:multiLevelType w:val="hybridMultilevel"/>
    <w:tmpl w:val="B35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A4DBE"/>
    <w:multiLevelType w:val="hybridMultilevel"/>
    <w:tmpl w:val="49804C2A"/>
    <w:lvl w:ilvl="0" w:tplc="60B43D68">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0D"/>
    <w:rsid w:val="0001680D"/>
    <w:rsid w:val="00054F3E"/>
    <w:rsid w:val="000850A8"/>
    <w:rsid w:val="000A7AE4"/>
    <w:rsid w:val="00135AE2"/>
    <w:rsid w:val="00137627"/>
    <w:rsid w:val="001444DC"/>
    <w:rsid w:val="0019560D"/>
    <w:rsid w:val="001C2D81"/>
    <w:rsid w:val="002767E2"/>
    <w:rsid w:val="00293D8B"/>
    <w:rsid w:val="002A7F9F"/>
    <w:rsid w:val="002B046C"/>
    <w:rsid w:val="002D20BF"/>
    <w:rsid w:val="00311E65"/>
    <w:rsid w:val="003344B5"/>
    <w:rsid w:val="003413EA"/>
    <w:rsid w:val="00356557"/>
    <w:rsid w:val="003659F8"/>
    <w:rsid w:val="00366932"/>
    <w:rsid w:val="00391226"/>
    <w:rsid w:val="003B621D"/>
    <w:rsid w:val="004015F9"/>
    <w:rsid w:val="00446EE3"/>
    <w:rsid w:val="0050502F"/>
    <w:rsid w:val="00513B71"/>
    <w:rsid w:val="00514454"/>
    <w:rsid w:val="00522454"/>
    <w:rsid w:val="00573DA3"/>
    <w:rsid w:val="005774D6"/>
    <w:rsid w:val="005D6D1B"/>
    <w:rsid w:val="005E74C0"/>
    <w:rsid w:val="00604C60"/>
    <w:rsid w:val="0063425E"/>
    <w:rsid w:val="0067793F"/>
    <w:rsid w:val="006A2392"/>
    <w:rsid w:val="006E3093"/>
    <w:rsid w:val="00734E77"/>
    <w:rsid w:val="007E46E6"/>
    <w:rsid w:val="008365CC"/>
    <w:rsid w:val="0089524A"/>
    <w:rsid w:val="00895E91"/>
    <w:rsid w:val="00915218"/>
    <w:rsid w:val="0096679D"/>
    <w:rsid w:val="00A0712A"/>
    <w:rsid w:val="00AB12F0"/>
    <w:rsid w:val="00AC4BDF"/>
    <w:rsid w:val="00AF4BCB"/>
    <w:rsid w:val="00B03337"/>
    <w:rsid w:val="00B5409C"/>
    <w:rsid w:val="00B56FD2"/>
    <w:rsid w:val="00C3285A"/>
    <w:rsid w:val="00C41865"/>
    <w:rsid w:val="00C500C1"/>
    <w:rsid w:val="00C65503"/>
    <w:rsid w:val="00CD4A1A"/>
    <w:rsid w:val="00D37BC8"/>
    <w:rsid w:val="00DE28B2"/>
    <w:rsid w:val="00DF529B"/>
    <w:rsid w:val="00DF624D"/>
    <w:rsid w:val="00E80C56"/>
    <w:rsid w:val="00EE446E"/>
    <w:rsid w:val="00F23995"/>
    <w:rsid w:val="00F43C44"/>
    <w:rsid w:val="00F92CFC"/>
    <w:rsid w:val="00FF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DBC2A9"/>
  <w15:docId w15:val="{8F3386F3-402B-42AA-A646-CA8BEAF8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DA3"/>
  </w:style>
  <w:style w:type="paragraph" w:styleId="Heading1">
    <w:name w:val="heading 1"/>
    <w:basedOn w:val="Normal"/>
    <w:next w:val="Normal"/>
    <w:link w:val="Heading1Char"/>
    <w:uiPriority w:val="9"/>
    <w:qFormat/>
    <w:rsid w:val="005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73D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99"/>
    <w:qFormat/>
    <w:rsid w:val="00DE28B2"/>
    <w:pPr>
      <w:spacing w:after="0"/>
    </w:pPr>
    <w:rPr>
      <w:rFonts w:ascii="Calibri" w:eastAsia="Times New Roman" w:hAnsi="Calibri" w:cs="Times New Roman"/>
      <w:szCs w:val="20"/>
    </w:rPr>
  </w:style>
  <w:style w:type="paragraph" w:styleId="ListParagraph">
    <w:name w:val="List Paragraph"/>
    <w:basedOn w:val="Normal"/>
    <w:uiPriority w:val="34"/>
    <w:qFormat/>
    <w:rsid w:val="00573DA3"/>
    <w:pPr>
      <w:spacing w:after="0"/>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table" w:styleId="TableGrid">
    <w:name w:val="Table Grid"/>
    <w:basedOn w:val="TableNormal"/>
    <w:uiPriority w:val="59"/>
    <w:rsid w:val="00016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12A"/>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15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F9"/>
    <w:rPr>
      <w:rFonts w:ascii="Segoe UI" w:hAnsi="Segoe UI" w:cs="Segoe UI"/>
      <w:sz w:val="18"/>
      <w:szCs w:val="18"/>
    </w:rPr>
  </w:style>
  <w:style w:type="paragraph" w:styleId="Header">
    <w:name w:val="header"/>
    <w:basedOn w:val="Normal"/>
    <w:link w:val="HeaderChar"/>
    <w:uiPriority w:val="99"/>
    <w:unhideWhenUsed/>
    <w:rsid w:val="002B046C"/>
    <w:pPr>
      <w:tabs>
        <w:tab w:val="center" w:pos="4680"/>
        <w:tab w:val="right" w:pos="9360"/>
      </w:tabs>
      <w:spacing w:after="0"/>
    </w:pPr>
  </w:style>
  <w:style w:type="character" w:customStyle="1" w:styleId="HeaderChar">
    <w:name w:val="Header Char"/>
    <w:basedOn w:val="DefaultParagraphFont"/>
    <w:link w:val="Header"/>
    <w:uiPriority w:val="99"/>
    <w:rsid w:val="002B046C"/>
  </w:style>
  <w:style w:type="paragraph" w:styleId="Footer">
    <w:name w:val="footer"/>
    <w:basedOn w:val="Normal"/>
    <w:link w:val="FooterChar"/>
    <w:uiPriority w:val="99"/>
    <w:unhideWhenUsed/>
    <w:rsid w:val="002B046C"/>
    <w:pPr>
      <w:tabs>
        <w:tab w:val="center" w:pos="4680"/>
        <w:tab w:val="right" w:pos="9360"/>
      </w:tabs>
      <w:spacing w:after="0"/>
    </w:pPr>
  </w:style>
  <w:style w:type="character" w:customStyle="1" w:styleId="FooterChar">
    <w:name w:val="Footer Char"/>
    <w:basedOn w:val="DefaultParagraphFont"/>
    <w:link w:val="Footer"/>
    <w:uiPriority w:val="99"/>
    <w:rsid w:val="002B0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gbarranc</dc:creator>
  <cp:lastModifiedBy>Abowd, Laurel</cp:lastModifiedBy>
  <cp:revision>2</cp:revision>
  <cp:lastPrinted>2018-09-10T19:11:00Z</cp:lastPrinted>
  <dcterms:created xsi:type="dcterms:W3CDTF">2018-10-18T19:45:00Z</dcterms:created>
  <dcterms:modified xsi:type="dcterms:W3CDTF">2018-10-18T19:45:00Z</dcterms:modified>
</cp:coreProperties>
</file>