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590" w:rsidRPr="00176CF7" w:rsidRDefault="00E22656">
      <w:pPr>
        <w:rPr>
          <w:rFonts w:ascii="Arial" w:hAnsi="Arial"/>
          <w:b/>
          <w:sz w:val="48"/>
          <w:szCs w:val="48"/>
        </w:rPr>
      </w:pPr>
      <w:r>
        <w:rPr>
          <w:rFonts w:ascii="Arial" w:hAnsi="Arial"/>
          <w:b/>
          <w:sz w:val="48"/>
          <w:szCs w:val="48"/>
        </w:rPr>
        <w:t>6</w:t>
      </w:r>
      <w:r w:rsidR="00FC24CE">
        <w:rPr>
          <w:rFonts w:ascii="Arial" w:hAnsi="Arial"/>
          <w:b/>
          <w:sz w:val="48"/>
          <w:szCs w:val="48"/>
        </w:rPr>
        <w:t xml:space="preserve"> </w:t>
      </w:r>
      <w:r>
        <w:rPr>
          <w:rFonts w:ascii="Arial" w:hAnsi="Arial"/>
          <w:b/>
          <w:sz w:val="48"/>
          <w:szCs w:val="48"/>
        </w:rPr>
        <w:t>Linking in the Loads</w:t>
      </w:r>
    </w:p>
    <w:p w:rsidR="001C7590" w:rsidRDefault="001C7590"/>
    <w:p w:rsidR="001C7590" w:rsidRDefault="00420529">
      <w:r>
        <w:pict>
          <v:rect id="_x0000_i1025" style="width:5in;height:1.5pt" o:hralign="center" o:hrstd="t" o:hrnoshade="t" o:hr="t" fillcolor="black" stroked="f"/>
        </w:pict>
      </w:r>
    </w:p>
    <w:p w:rsidR="001C7590" w:rsidRDefault="001C7590"/>
    <w:p w:rsidR="00076794" w:rsidRDefault="00076794"/>
    <w:p w:rsidR="00D36BB7" w:rsidRPr="00D36BB7" w:rsidRDefault="00D36BB7">
      <w:pPr>
        <w:rPr>
          <w:rFonts w:ascii="Arial" w:hAnsi="Arial"/>
          <w:b/>
          <w:sz w:val="28"/>
          <w:szCs w:val="28"/>
        </w:rPr>
      </w:pPr>
      <w:r w:rsidRPr="00D36BB7">
        <w:rPr>
          <w:rFonts w:ascii="Arial" w:hAnsi="Arial"/>
          <w:b/>
          <w:sz w:val="28"/>
          <w:szCs w:val="28"/>
        </w:rPr>
        <w:t>Introduction</w:t>
      </w:r>
    </w:p>
    <w:p w:rsidR="00D36BB7" w:rsidRDefault="00D36BB7"/>
    <w:p w:rsidR="00D36BB7" w:rsidRDefault="00D36BB7" w:rsidP="00D36BB7">
      <w:pPr>
        <w:ind w:firstLine="720"/>
      </w:pPr>
      <w:r>
        <w:t xml:space="preserve">Loads input to the Chesapeake Bay model come from a variety of sources and are reported in multiple forms.  The loads must be linked or mapped into specific WQM state variables.  The linkage process has evolved as the WQM has evolved and as the sources of loads have changed.  The current linkage process combines methods developed for this phase of the study along with methods inherited from earlier phases.  The methods employed to link to loads from the watershed, </w:t>
      </w:r>
      <w:r w:rsidR="00F23EBB">
        <w:t xml:space="preserve">from point sources, </w:t>
      </w:r>
      <w:r>
        <w:t>from direct atmospheric deposition</w:t>
      </w:r>
      <w:r w:rsidR="00F23EBB">
        <w:t>, and from shoreline erosion</w:t>
      </w:r>
      <w:r>
        <w:t xml:space="preserve"> are described below.</w:t>
      </w:r>
    </w:p>
    <w:p w:rsidR="00D36BB7" w:rsidRDefault="00D36BB7" w:rsidP="00D36BB7"/>
    <w:p w:rsidR="00D36BB7" w:rsidRPr="006E59BE" w:rsidRDefault="00D36BB7" w:rsidP="00D36BB7">
      <w:pPr>
        <w:rPr>
          <w:rFonts w:ascii="Arial" w:hAnsi="Arial"/>
          <w:b/>
          <w:sz w:val="28"/>
          <w:szCs w:val="28"/>
        </w:rPr>
      </w:pPr>
      <w:r w:rsidRPr="006E59BE">
        <w:rPr>
          <w:rFonts w:ascii="Arial" w:hAnsi="Arial"/>
          <w:b/>
          <w:sz w:val="28"/>
          <w:szCs w:val="28"/>
        </w:rPr>
        <w:t>Watershed Loads</w:t>
      </w:r>
    </w:p>
    <w:p w:rsidR="00C65B8B" w:rsidRDefault="00C65B8B" w:rsidP="00D36BB7"/>
    <w:p w:rsidR="00C65B8B" w:rsidRDefault="00C65B8B" w:rsidP="00D36BB7">
      <w:r>
        <w:tab/>
        <w:t>Watershed loads</w:t>
      </w:r>
      <w:r w:rsidR="00F23EBB">
        <w:t xml:space="preserve"> are from the Phase 6 </w:t>
      </w:r>
      <w:r>
        <w:t>version of the Chesapeake Bay Program Watershed Model (WSM)</w:t>
      </w:r>
      <w:r w:rsidR="00F23EBB">
        <w:t xml:space="preserve"> and were provided to the WQM team in late November 2017</w:t>
      </w:r>
      <w:r>
        <w:t xml:space="preserve">.  The WSM output is provided in annual files in which daily loads and flows are routed to WQM surface cells around the perimeter of the Bay and tributaries.  Several WSM state variables have direct equivalents in the WQM while others require conversion to WQM state variables (Table </w:t>
      </w:r>
      <w:r w:rsidR="00F23EBB">
        <w:t>6-</w:t>
      </w:r>
      <w:r>
        <w:t xml:space="preserve">1).  </w:t>
      </w:r>
      <w:r w:rsidR="006E59BE">
        <w:t xml:space="preserve">Two differences in the models require attention.  The first is the conversion of the general WSM organic nitrogen and organic phosphorus state variables to the detailed suite of WQM variables.  The second is </w:t>
      </w:r>
      <w:r w:rsidR="00574CB3">
        <w:t xml:space="preserve">provision of watershed organic carbon loads in </w:t>
      </w:r>
      <w:r w:rsidR="006E59BE">
        <w:t>the absence of a WSM state variable corresponding to the WQM organic carbon variable suite.</w:t>
      </w:r>
      <w:r w:rsidR="00596F8C">
        <w:t xml:space="preserve">  The linkage process allows for individual</w:t>
      </w:r>
      <w:r w:rsidR="00574CB3">
        <w:t xml:space="preserve"> specification of the </w:t>
      </w:r>
      <w:r w:rsidR="00596F8C">
        <w:t>parameter</w:t>
      </w:r>
      <w:r w:rsidR="00574CB3">
        <w:t xml:space="preserve">s involved in the linkage </w:t>
      </w:r>
      <w:r w:rsidR="00596F8C">
        <w:t xml:space="preserve">at seven river inputs: Susquehanna, Patuxent, Potomac, Rappahannock, </w:t>
      </w:r>
      <w:r w:rsidR="00090D2A">
        <w:t>York</w:t>
      </w:r>
      <w:r w:rsidR="00574CB3">
        <w:t>, Jam</w:t>
      </w:r>
      <w:r w:rsidR="00596F8C">
        <w:t xml:space="preserve">es, and </w:t>
      </w:r>
      <w:proofErr w:type="spellStart"/>
      <w:r w:rsidR="00596F8C">
        <w:t>Choptank</w:t>
      </w:r>
      <w:proofErr w:type="spellEnd"/>
      <w:r w:rsidR="00596F8C">
        <w:t xml:space="preserve">.  The remaining distributed loads are converted with one more available parameter set.  </w:t>
      </w:r>
      <w:r w:rsidR="006E59BE">
        <w:t xml:space="preserve">  </w:t>
      </w:r>
    </w:p>
    <w:p w:rsidR="006E59BE" w:rsidRDefault="006E59BE" w:rsidP="00D36BB7"/>
    <w:p w:rsidR="006E59BE" w:rsidRDefault="006E59BE" w:rsidP="00D36BB7">
      <w:pPr>
        <w:rPr>
          <w:rFonts w:ascii="Arial" w:hAnsi="Arial"/>
          <w:b/>
        </w:rPr>
      </w:pPr>
      <w:r w:rsidRPr="006E59BE">
        <w:rPr>
          <w:rFonts w:ascii="Arial" w:hAnsi="Arial"/>
          <w:b/>
        </w:rPr>
        <w:t>Organic Nitrogen</w:t>
      </w:r>
    </w:p>
    <w:p w:rsidR="006E59BE" w:rsidRDefault="006E59BE" w:rsidP="00D36BB7">
      <w:pPr>
        <w:rPr>
          <w:rFonts w:cs="Times New Roman"/>
        </w:rPr>
      </w:pPr>
    </w:p>
    <w:p w:rsidR="006E59BE" w:rsidRDefault="006E59BE" w:rsidP="00D36BB7">
      <w:pPr>
        <w:rPr>
          <w:rFonts w:cs="Times New Roman"/>
        </w:rPr>
      </w:pPr>
      <w:r>
        <w:rPr>
          <w:rFonts w:cs="Times New Roman"/>
        </w:rPr>
        <w:tab/>
        <w:t xml:space="preserve">The steps required to map WSM organic nitrogen into WQM variables (Figure </w:t>
      </w:r>
      <w:r w:rsidR="00C771B3">
        <w:rPr>
          <w:rFonts w:cs="Times New Roman"/>
        </w:rPr>
        <w:t>6-</w:t>
      </w:r>
      <w:r>
        <w:rPr>
          <w:rFonts w:cs="Times New Roman"/>
        </w:rPr>
        <w:t>1) are as follows:</w:t>
      </w:r>
    </w:p>
    <w:p w:rsidR="006E59BE" w:rsidRPr="0096022D" w:rsidRDefault="006E59BE" w:rsidP="0096022D">
      <w:pPr>
        <w:pStyle w:val="ListParagraph"/>
        <w:numPr>
          <w:ilvl w:val="0"/>
          <w:numId w:val="6"/>
        </w:numPr>
        <w:rPr>
          <w:rFonts w:cs="Times New Roman"/>
        </w:rPr>
      </w:pPr>
      <w:r w:rsidRPr="0096022D">
        <w:rPr>
          <w:rFonts w:cs="Times New Roman"/>
        </w:rPr>
        <w:t>Remove the amount of nitrogen associated with phytoplankton loads.</w:t>
      </w:r>
    </w:p>
    <w:p w:rsidR="006E59BE" w:rsidRPr="0096022D" w:rsidRDefault="006E59BE" w:rsidP="0096022D">
      <w:pPr>
        <w:pStyle w:val="ListParagraph"/>
        <w:numPr>
          <w:ilvl w:val="0"/>
          <w:numId w:val="6"/>
        </w:numPr>
        <w:rPr>
          <w:rFonts w:cs="Times New Roman"/>
        </w:rPr>
      </w:pPr>
      <w:r w:rsidRPr="0096022D">
        <w:rPr>
          <w:rFonts w:cs="Times New Roman"/>
        </w:rPr>
        <w:t>Split organic nitrogen into particulate and dissolved forms.</w:t>
      </w:r>
    </w:p>
    <w:p w:rsidR="006E59BE" w:rsidRDefault="006E59BE" w:rsidP="00D36BB7">
      <w:pPr>
        <w:pStyle w:val="ListParagraph"/>
        <w:numPr>
          <w:ilvl w:val="0"/>
          <w:numId w:val="6"/>
        </w:numPr>
        <w:rPr>
          <w:rFonts w:cs="Times New Roman"/>
        </w:rPr>
      </w:pPr>
      <w:r w:rsidRPr="0096022D">
        <w:rPr>
          <w:rFonts w:cs="Times New Roman"/>
        </w:rPr>
        <w:t>Split particulate organic nitrogen into three reactive classes.</w:t>
      </w:r>
    </w:p>
    <w:p w:rsidR="00574CB3" w:rsidRDefault="00574CB3" w:rsidP="0096022D">
      <w:pPr>
        <w:rPr>
          <w:rFonts w:cs="Times New Roman"/>
        </w:rPr>
        <w:sectPr w:rsidR="00574CB3" w:rsidSect="00574CB3">
          <w:footerReference w:type="even" r:id="rId8"/>
          <w:footerReference w:type="default" r:id="rId9"/>
          <w:pgSz w:w="12240" w:h="15840"/>
          <w:pgMar w:top="2880" w:right="2880" w:bottom="1440" w:left="2160" w:header="720" w:footer="720" w:gutter="0"/>
          <w:cols w:space="720"/>
          <w:docGrid w:linePitch="360"/>
        </w:sectPr>
      </w:pPr>
    </w:p>
    <w:p w:rsidR="0096022D" w:rsidRPr="0096022D" w:rsidRDefault="0096022D" w:rsidP="0096022D">
      <w:pPr>
        <w:rPr>
          <w:rFonts w:cs="Times New Roman"/>
        </w:rPr>
      </w:pPr>
    </w:p>
    <w:p w:rsidR="0096022D" w:rsidRDefault="0096022D" w:rsidP="0096022D">
      <w:pPr>
        <w:ind w:firstLine="720"/>
        <w:rPr>
          <w:rFonts w:cs="Times New Roman"/>
        </w:rPr>
      </w:pPr>
      <w:r>
        <w:rPr>
          <w:rFonts w:cs="Times New Roman"/>
        </w:rPr>
        <w:t xml:space="preserve">Phytoplankton nitrogen is represented implicitly in the WQM.  That is, the nitrogen is represented as a fraction of phytoplankton carbon (see Chapter 2 Kinetics).   The present version of the WQM employs WSM chlorophyll to compute phytoplankton entering tributaries from the watershed.  In order to load the WQM with precisely the quantity of nitrogen provided by the WSM, the implicit nitrogen load incorporated in phytoplankton is removed from the explicit organic nitrogen load provided by the WSM.  </w:t>
      </w:r>
    </w:p>
    <w:p w:rsidR="0096022D" w:rsidRDefault="0096022D" w:rsidP="0096022D">
      <w:pPr>
        <w:ind w:firstLine="720"/>
        <w:rPr>
          <w:rFonts w:cs="Times New Roman"/>
        </w:rPr>
      </w:pPr>
    </w:p>
    <w:p w:rsidR="006E59BE" w:rsidRDefault="00596F8C" w:rsidP="0096022D">
      <w:pPr>
        <w:ind w:firstLine="720"/>
        <w:rPr>
          <w:rFonts w:cs="Times New Roman"/>
        </w:rPr>
      </w:pPr>
      <w:r>
        <w:rPr>
          <w:rFonts w:cs="Times New Roman"/>
        </w:rPr>
        <w:t>The split of organic nitrogen into particulate and dissolved organi</w:t>
      </w:r>
      <w:r w:rsidR="00C771B3">
        <w:rPr>
          <w:rFonts w:cs="Times New Roman"/>
        </w:rPr>
        <w:t xml:space="preserve">c form is difficult to quantify </w:t>
      </w:r>
      <w:r>
        <w:rPr>
          <w:rFonts w:cs="Times New Roman"/>
        </w:rPr>
        <w:t xml:space="preserve">definitively.  Some uncertainty results from the multiple data bases and analyses available to inform the splits.  </w:t>
      </w:r>
      <w:r w:rsidR="00884CCB">
        <w:rPr>
          <w:rFonts w:cs="Times New Roman"/>
        </w:rPr>
        <w:t>Earlier analyses (</w:t>
      </w:r>
      <w:proofErr w:type="spellStart"/>
      <w:r w:rsidR="00884CCB">
        <w:rPr>
          <w:rFonts w:cs="Times New Roman"/>
        </w:rPr>
        <w:t>Cerco</w:t>
      </w:r>
      <w:proofErr w:type="spellEnd"/>
      <w:r w:rsidR="00884CCB">
        <w:rPr>
          <w:rFonts w:cs="Times New Roman"/>
        </w:rPr>
        <w:t xml:space="preserve"> and Cole 1994, </w:t>
      </w:r>
      <w:proofErr w:type="spellStart"/>
      <w:r w:rsidR="00884CCB">
        <w:rPr>
          <w:rFonts w:cs="Times New Roman"/>
        </w:rPr>
        <w:t>Cerco</w:t>
      </w:r>
      <w:proofErr w:type="spellEnd"/>
      <w:r w:rsidR="00884CCB">
        <w:rPr>
          <w:rFonts w:cs="Times New Roman"/>
        </w:rPr>
        <w:t xml:space="preserve"> and </w:t>
      </w:r>
      <w:r w:rsidR="00574CB3">
        <w:rPr>
          <w:rFonts w:cs="Times New Roman"/>
        </w:rPr>
        <w:t xml:space="preserve">Noel 2004) </w:t>
      </w:r>
      <w:r w:rsidR="00884CCB">
        <w:rPr>
          <w:rFonts w:cs="Times New Roman"/>
        </w:rPr>
        <w:t>detected an influence of river flow.  For this phase of the study, we examined particulate and dissolved organic nitrogen at the first tidal monitoring station</w:t>
      </w:r>
      <w:r>
        <w:rPr>
          <w:rFonts w:cs="Times New Roman"/>
        </w:rPr>
        <w:t xml:space="preserve"> </w:t>
      </w:r>
      <w:r w:rsidR="00884CCB">
        <w:rPr>
          <w:rFonts w:cs="Times New Roman"/>
        </w:rPr>
        <w:t>downstream of each river inflow.  Our assumption was that the observations at these stations are representative of the material entering from the watershed.</w:t>
      </w:r>
      <w:r w:rsidR="00C02500">
        <w:rPr>
          <w:rFonts w:cs="Times New Roman"/>
        </w:rPr>
        <w:t xml:space="preserve">  This method ensured consistency between the methodologies used to determine the splits and the data used to calibrate and validate the WQM.  </w:t>
      </w:r>
      <w:r w:rsidR="008B778B">
        <w:rPr>
          <w:rFonts w:cs="Times New Roman"/>
        </w:rPr>
        <w:t>Little or no influence of flow was evident in this data base (Figures</w:t>
      </w:r>
      <w:r w:rsidR="004B72FE">
        <w:rPr>
          <w:rFonts w:cs="Times New Roman"/>
        </w:rPr>
        <w:t xml:space="preserve"> </w:t>
      </w:r>
      <w:r w:rsidR="00C771B3">
        <w:rPr>
          <w:rFonts w:cs="Times New Roman"/>
        </w:rPr>
        <w:t>6-</w:t>
      </w:r>
      <w:r w:rsidR="004B72FE">
        <w:rPr>
          <w:rFonts w:cs="Times New Roman"/>
        </w:rPr>
        <w:t xml:space="preserve">2, </w:t>
      </w:r>
      <w:r w:rsidR="00C771B3">
        <w:rPr>
          <w:rFonts w:cs="Times New Roman"/>
        </w:rPr>
        <w:t>6-</w:t>
      </w:r>
      <w:r w:rsidR="004B72FE">
        <w:rPr>
          <w:rFonts w:cs="Times New Roman"/>
        </w:rPr>
        <w:t>3</w:t>
      </w:r>
      <w:r w:rsidR="008B778B">
        <w:rPr>
          <w:rFonts w:cs="Times New Roman"/>
        </w:rPr>
        <w:t xml:space="preserve">).  Splits (Table </w:t>
      </w:r>
      <w:r w:rsidR="00C771B3">
        <w:rPr>
          <w:rFonts w:cs="Times New Roman"/>
        </w:rPr>
        <w:t>6-</w:t>
      </w:r>
      <w:r w:rsidR="008B778B">
        <w:rPr>
          <w:rFonts w:cs="Times New Roman"/>
        </w:rPr>
        <w:t xml:space="preserve">2) were determined from the median fractions of particulate and dissolved organic nitrogen at each location.  </w:t>
      </w:r>
      <w:r w:rsidR="00884CCB">
        <w:rPr>
          <w:rFonts w:cs="Times New Roman"/>
        </w:rPr>
        <w:t xml:space="preserve">   </w:t>
      </w:r>
      <w:r>
        <w:rPr>
          <w:rFonts w:cs="Times New Roman"/>
        </w:rPr>
        <w:t xml:space="preserve">  </w:t>
      </w:r>
      <w:r w:rsidR="0096022D">
        <w:rPr>
          <w:rFonts w:cs="Times New Roman"/>
        </w:rPr>
        <w:t xml:space="preserve">  </w:t>
      </w:r>
    </w:p>
    <w:p w:rsidR="006E59BE" w:rsidRPr="008B778B" w:rsidRDefault="006E59BE" w:rsidP="00D36BB7">
      <w:pPr>
        <w:rPr>
          <w:rFonts w:cs="Times New Roman"/>
        </w:rPr>
      </w:pPr>
    </w:p>
    <w:p w:rsidR="009A78AF" w:rsidRDefault="006E59BE" w:rsidP="00D36BB7">
      <w:pPr>
        <w:rPr>
          <w:rFonts w:cs="Times New Roman"/>
        </w:rPr>
      </w:pPr>
      <w:r w:rsidRPr="008B778B">
        <w:rPr>
          <w:rFonts w:cs="Times New Roman"/>
        </w:rPr>
        <w:tab/>
      </w:r>
      <w:r w:rsidR="008B778B">
        <w:rPr>
          <w:rFonts w:cs="Times New Roman"/>
        </w:rPr>
        <w:t xml:space="preserve">Splits of particulate organic nitrogen into reactive classes were obtained from an ongoing study of the </w:t>
      </w:r>
      <w:proofErr w:type="spellStart"/>
      <w:r w:rsidR="008B778B">
        <w:rPr>
          <w:rFonts w:cs="Times New Roman"/>
        </w:rPr>
        <w:t>Conowin</w:t>
      </w:r>
      <w:r w:rsidR="00090D2A">
        <w:rPr>
          <w:rFonts w:cs="Times New Roman"/>
        </w:rPr>
        <w:t>go</w:t>
      </w:r>
      <w:proofErr w:type="spellEnd"/>
      <w:r w:rsidR="00090D2A">
        <w:rPr>
          <w:rFonts w:cs="Times New Roman"/>
        </w:rPr>
        <w:t xml:space="preserve"> Reservoir (</w:t>
      </w:r>
      <w:r w:rsidR="00BD3687">
        <w:rPr>
          <w:rFonts w:cs="Times New Roman"/>
        </w:rPr>
        <w:t>Zhang 2017)</w:t>
      </w:r>
      <w:r w:rsidR="008B778B">
        <w:rPr>
          <w:rFonts w:cs="Times New Roman"/>
        </w:rPr>
        <w:t xml:space="preserve">.  The study estimated the splits through a mass balance </w:t>
      </w:r>
      <w:r w:rsidR="00E1148B">
        <w:rPr>
          <w:rFonts w:cs="Times New Roman"/>
        </w:rPr>
        <w:t xml:space="preserve">analysis </w:t>
      </w:r>
      <w:r w:rsidR="008B778B">
        <w:rPr>
          <w:rFonts w:cs="Times New Roman"/>
        </w:rPr>
        <w:t xml:space="preserve">of solids </w:t>
      </w:r>
      <w:r w:rsidR="00E1148B">
        <w:rPr>
          <w:rFonts w:cs="Times New Roman"/>
        </w:rPr>
        <w:t xml:space="preserve">entering and leaving the reservoir and of </w:t>
      </w:r>
      <w:r w:rsidR="008B778B">
        <w:rPr>
          <w:rFonts w:cs="Times New Roman"/>
        </w:rPr>
        <w:t xml:space="preserve">sediment-water </w:t>
      </w:r>
      <w:r w:rsidR="009A78AF">
        <w:rPr>
          <w:rFonts w:cs="Times New Roman"/>
        </w:rPr>
        <w:t xml:space="preserve">nutrient </w:t>
      </w:r>
      <w:r w:rsidR="008B778B">
        <w:rPr>
          <w:rFonts w:cs="Times New Roman"/>
        </w:rPr>
        <w:t xml:space="preserve">fluxes </w:t>
      </w:r>
      <w:r w:rsidR="00E1148B">
        <w:rPr>
          <w:rFonts w:cs="Times New Roman"/>
        </w:rPr>
        <w:t>with</w:t>
      </w:r>
      <w:r w:rsidR="008B778B">
        <w:rPr>
          <w:rFonts w:cs="Times New Roman"/>
        </w:rPr>
        <w:t>in the reservoir.</w:t>
      </w:r>
      <w:r w:rsidR="009A78AF">
        <w:rPr>
          <w:rFonts w:cs="Times New Roman"/>
        </w:rPr>
        <w:t xml:space="preserve">  For the Susquehanna River, the reactive splits are influenced by flow above 6,500 m</w:t>
      </w:r>
      <w:r w:rsidR="009A78AF" w:rsidRPr="009A78AF">
        <w:rPr>
          <w:rFonts w:cs="Times New Roman"/>
          <w:vertAlign w:val="superscript"/>
        </w:rPr>
        <w:t>3</w:t>
      </w:r>
      <w:r w:rsidR="009A78AF">
        <w:rPr>
          <w:rFonts w:cs="Times New Roman"/>
        </w:rPr>
        <w:t xml:space="preserve"> s</w:t>
      </w:r>
      <w:r w:rsidR="009A78AF" w:rsidRPr="009A78AF">
        <w:rPr>
          <w:rFonts w:cs="Times New Roman"/>
          <w:vertAlign w:val="superscript"/>
        </w:rPr>
        <w:t>-1</w:t>
      </w:r>
      <w:r w:rsidR="009A78AF">
        <w:rPr>
          <w:rFonts w:cs="Times New Roman"/>
        </w:rPr>
        <w:t>.   The relationships used to d</w:t>
      </w:r>
      <w:r w:rsidR="00090D2A">
        <w:rPr>
          <w:rFonts w:cs="Times New Roman"/>
        </w:rPr>
        <w:t>etermine the reactive classes a</w:t>
      </w:r>
      <w:r w:rsidR="009A78AF">
        <w:rPr>
          <w:rFonts w:cs="Times New Roman"/>
        </w:rPr>
        <w:t>re of the form:</w:t>
      </w:r>
    </w:p>
    <w:p w:rsidR="009A78AF" w:rsidRDefault="009A78AF" w:rsidP="00D36BB7">
      <w:pPr>
        <w:rPr>
          <w:rFonts w:cs="Times New Roman"/>
        </w:rPr>
      </w:pPr>
    </w:p>
    <w:p w:rsidR="009A78AF" w:rsidRDefault="009A78AF" w:rsidP="009A78AF">
      <w:pPr>
        <w:ind w:firstLine="720"/>
        <w:rPr>
          <w:rFonts w:cs="Times New Roman"/>
        </w:rPr>
      </w:pPr>
      <m:oMath>
        <m:r>
          <w:rPr>
            <w:rFonts w:ascii="Cambria Math" w:hAnsi="Cambria Math" w:cs="Times New Roman"/>
          </w:rPr>
          <m:t>Fg1=FLPON-∝1∙</m:t>
        </m:r>
        <m:d>
          <m:dPr>
            <m:ctrlPr>
              <w:rPr>
                <w:rFonts w:ascii="Cambria Math" w:hAnsi="Cambria Math" w:cs="Times New Roman"/>
                <w:i/>
              </w:rPr>
            </m:ctrlPr>
          </m:dPr>
          <m:e>
            <m:r>
              <w:rPr>
                <w:rFonts w:ascii="Cambria Math" w:hAnsi="Cambria Math" w:cs="Times New Roman"/>
              </w:rPr>
              <m:t>Q-6500</m:t>
            </m:r>
          </m:e>
        </m:d>
      </m:oMath>
      <w:r>
        <w:rPr>
          <w:rFonts w:cs="Times New Roman"/>
        </w:rPr>
        <w:tab/>
      </w:r>
      <w:r>
        <w:rPr>
          <w:rFonts w:cs="Times New Roman"/>
        </w:rPr>
        <w:tab/>
        <w:t>(1)</w:t>
      </w:r>
    </w:p>
    <w:p w:rsidR="009A78AF" w:rsidRDefault="009A78AF" w:rsidP="009A78AF">
      <w:pPr>
        <w:ind w:firstLine="720"/>
        <w:rPr>
          <w:rFonts w:cs="Times New Roman"/>
        </w:rPr>
      </w:pPr>
      <m:oMath>
        <m:r>
          <w:rPr>
            <w:rFonts w:ascii="Cambria Math" w:hAnsi="Cambria Math" w:cs="Times New Roman"/>
          </w:rPr>
          <m:t>Fg2=FRPON-∝2∙</m:t>
        </m:r>
        <m:d>
          <m:dPr>
            <m:ctrlPr>
              <w:rPr>
                <w:rFonts w:ascii="Cambria Math" w:hAnsi="Cambria Math" w:cs="Times New Roman"/>
                <w:i/>
              </w:rPr>
            </m:ctrlPr>
          </m:dPr>
          <m:e>
            <m:r>
              <w:rPr>
                <w:rFonts w:ascii="Cambria Math" w:hAnsi="Cambria Math" w:cs="Times New Roman"/>
              </w:rPr>
              <m:t>Q-6500</m:t>
            </m:r>
          </m:e>
        </m:d>
      </m:oMath>
      <w:r>
        <w:rPr>
          <w:rFonts w:cs="Times New Roman"/>
        </w:rPr>
        <w:tab/>
      </w:r>
      <w:r>
        <w:rPr>
          <w:rFonts w:cs="Times New Roman"/>
        </w:rPr>
        <w:tab/>
        <w:t>(2)</w:t>
      </w:r>
    </w:p>
    <w:p w:rsidR="009A78AF" w:rsidRPr="009A78AF" w:rsidRDefault="009A78AF" w:rsidP="009A78AF">
      <w:pPr>
        <w:ind w:firstLine="720"/>
        <w:rPr>
          <w:rFonts w:cs="Times New Roman"/>
        </w:rPr>
      </w:pPr>
      <m:oMath>
        <m:r>
          <w:rPr>
            <w:rFonts w:ascii="Cambria Math" w:hAnsi="Cambria Math" w:cs="Times New Roman"/>
          </w:rPr>
          <m:t>Fg3-1-Fg1-Fg2</m:t>
        </m:r>
      </m:oMath>
      <w:r>
        <w:rPr>
          <w:rFonts w:cs="Times New Roman"/>
        </w:rPr>
        <w:tab/>
      </w:r>
      <w:r>
        <w:rPr>
          <w:rFonts w:cs="Times New Roman"/>
        </w:rPr>
        <w:tab/>
      </w:r>
      <w:r>
        <w:rPr>
          <w:rFonts w:cs="Times New Roman"/>
        </w:rPr>
        <w:tab/>
      </w:r>
      <w:r>
        <w:rPr>
          <w:rFonts w:cs="Times New Roman"/>
        </w:rPr>
        <w:tab/>
        <w:t>(3)</w:t>
      </w:r>
    </w:p>
    <w:p w:rsidR="009A78AF" w:rsidRDefault="009A78AF" w:rsidP="009A78AF">
      <w:pPr>
        <w:rPr>
          <w:rFonts w:cs="Times New Roman"/>
        </w:rPr>
      </w:pPr>
    </w:p>
    <w:p w:rsidR="009A78AF" w:rsidRDefault="009A78AF" w:rsidP="009A78AF">
      <w:pPr>
        <w:rPr>
          <w:rFonts w:cs="Times New Roman"/>
        </w:rPr>
      </w:pPr>
      <w:proofErr w:type="gramStart"/>
      <w:r>
        <w:rPr>
          <w:rFonts w:cs="Times New Roman"/>
        </w:rPr>
        <w:t>in</w:t>
      </w:r>
      <w:proofErr w:type="gramEnd"/>
      <w:r>
        <w:rPr>
          <w:rFonts w:cs="Times New Roman"/>
        </w:rPr>
        <w:t xml:space="preserve"> which:</w:t>
      </w:r>
    </w:p>
    <w:p w:rsidR="009A78AF" w:rsidRDefault="009A78AF" w:rsidP="009A78AF">
      <w:pPr>
        <w:rPr>
          <w:rFonts w:cs="Times New Roman"/>
        </w:rPr>
      </w:pPr>
    </w:p>
    <w:p w:rsidR="009A78AF" w:rsidRDefault="009A78AF" w:rsidP="009A78AF">
      <w:pPr>
        <w:rPr>
          <w:rFonts w:cs="Times New Roman"/>
        </w:rPr>
      </w:pPr>
      <w:r>
        <w:rPr>
          <w:rFonts w:cs="Times New Roman"/>
        </w:rPr>
        <w:t>Fg1 = labile fraction of particulate organic nitrogen (0 &lt; Fg1 &lt; 1)</w:t>
      </w:r>
    </w:p>
    <w:p w:rsidR="009A78AF" w:rsidRDefault="009A78AF" w:rsidP="009A78AF">
      <w:pPr>
        <w:rPr>
          <w:rFonts w:cs="Times New Roman"/>
        </w:rPr>
      </w:pPr>
      <w:r>
        <w:rPr>
          <w:rFonts w:cs="Times New Roman"/>
        </w:rPr>
        <w:t>Fg2 = refractory fraction of particulate organic nitrogen (0 &lt; Fg2 &lt; 1)</w:t>
      </w:r>
    </w:p>
    <w:p w:rsidR="009A78AF" w:rsidRDefault="009A78AF" w:rsidP="009A78AF">
      <w:pPr>
        <w:rPr>
          <w:rFonts w:cs="Times New Roman"/>
        </w:rPr>
      </w:pPr>
      <w:r>
        <w:rPr>
          <w:rFonts w:cs="Times New Roman"/>
        </w:rPr>
        <w:t>Fg3 = G3 fraction of particulate organic nitrogen (0 &lt; Fg3 &lt; 1)</w:t>
      </w:r>
    </w:p>
    <w:p w:rsidR="009A78AF" w:rsidRDefault="009426CF" w:rsidP="009A78AF">
      <w:pPr>
        <w:rPr>
          <w:rFonts w:cs="Times New Roman"/>
        </w:rPr>
      </w:pPr>
      <w:r>
        <w:rPr>
          <w:rFonts w:cs="Times New Roman"/>
        </w:rPr>
        <w:t>α1 = Effect of flow &gt; 6</w:t>
      </w:r>
      <w:r w:rsidR="002E29D8">
        <w:rPr>
          <w:rFonts w:cs="Times New Roman"/>
        </w:rPr>
        <w:t>,</w:t>
      </w:r>
      <w:r>
        <w:rPr>
          <w:rFonts w:cs="Times New Roman"/>
        </w:rPr>
        <w:t>500 m</w:t>
      </w:r>
      <w:r w:rsidRPr="009426CF">
        <w:rPr>
          <w:rFonts w:cs="Times New Roman"/>
          <w:vertAlign w:val="superscript"/>
        </w:rPr>
        <w:t>3</w:t>
      </w:r>
      <w:r>
        <w:rPr>
          <w:rFonts w:cs="Times New Roman"/>
        </w:rPr>
        <w:t xml:space="preserve"> s</w:t>
      </w:r>
      <w:r w:rsidRPr="009426CF">
        <w:rPr>
          <w:rFonts w:cs="Times New Roman"/>
          <w:vertAlign w:val="superscript"/>
        </w:rPr>
        <w:t>-1</w:t>
      </w:r>
      <w:r>
        <w:rPr>
          <w:rFonts w:cs="Times New Roman"/>
        </w:rPr>
        <w:t xml:space="preserve"> on Fg1 (s m</w:t>
      </w:r>
      <w:r w:rsidRPr="009426CF">
        <w:rPr>
          <w:rFonts w:cs="Times New Roman"/>
          <w:vertAlign w:val="superscript"/>
        </w:rPr>
        <w:t>-3</w:t>
      </w:r>
      <w:r>
        <w:rPr>
          <w:rFonts w:cs="Times New Roman"/>
        </w:rPr>
        <w:t>)</w:t>
      </w:r>
    </w:p>
    <w:p w:rsidR="009426CF" w:rsidRDefault="009426CF" w:rsidP="009426CF">
      <w:pPr>
        <w:rPr>
          <w:rFonts w:cs="Times New Roman"/>
        </w:rPr>
      </w:pPr>
      <w:r>
        <w:rPr>
          <w:rFonts w:cs="Times New Roman"/>
        </w:rPr>
        <w:t>α2 = Effect of flow &gt; 6</w:t>
      </w:r>
      <w:r w:rsidR="002E29D8">
        <w:rPr>
          <w:rFonts w:cs="Times New Roman"/>
        </w:rPr>
        <w:t>,</w:t>
      </w:r>
      <w:r>
        <w:rPr>
          <w:rFonts w:cs="Times New Roman"/>
        </w:rPr>
        <w:t>500 m</w:t>
      </w:r>
      <w:r w:rsidRPr="009426CF">
        <w:rPr>
          <w:rFonts w:cs="Times New Roman"/>
          <w:vertAlign w:val="superscript"/>
        </w:rPr>
        <w:t>3</w:t>
      </w:r>
      <w:r>
        <w:rPr>
          <w:rFonts w:cs="Times New Roman"/>
        </w:rPr>
        <w:t xml:space="preserve"> s</w:t>
      </w:r>
      <w:r w:rsidRPr="009426CF">
        <w:rPr>
          <w:rFonts w:cs="Times New Roman"/>
          <w:vertAlign w:val="superscript"/>
        </w:rPr>
        <w:t>-1</w:t>
      </w:r>
      <w:r>
        <w:rPr>
          <w:rFonts w:cs="Times New Roman"/>
        </w:rPr>
        <w:t xml:space="preserve"> on Fg2 (s m</w:t>
      </w:r>
      <w:r w:rsidRPr="009426CF">
        <w:rPr>
          <w:rFonts w:cs="Times New Roman"/>
          <w:vertAlign w:val="superscript"/>
        </w:rPr>
        <w:t>-3</w:t>
      </w:r>
      <w:r>
        <w:rPr>
          <w:rFonts w:cs="Times New Roman"/>
        </w:rPr>
        <w:t>)</w:t>
      </w:r>
    </w:p>
    <w:p w:rsidR="009426CF" w:rsidRDefault="009426CF" w:rsidP="009426CF">
      <w:pPr>
        <w:rPr>
          <w:rFonts w:cs="Times New Roman"/>
        </w:rPr>
      </w:pPr>
      <w:r>
        <w:rPr>
          <w:rFonts w:cs="Times New Roman"/>
        </w:rPr>
        <w:t xml:space="preserve">Q = Flow at </w:t>
      </w:r>
      <w:proofErr w:type="spellStart"/>
      <w:r>
        <w:rPr>
          <w:rFonts w:cs="Times New Roman"/>
        </w:rPr>
        <w:t>Conowingo</w:t>
      </w:r>
      <w:proofErr w:type="spellEnd"/>
      <w:r>
        <w:rPr>
          <w:rFonts w:cs="Times New Roman"/>
        </w:rPr>
        <w:t xml:space="preserve"> outfall (m</w:t>
      </w:r>
      <w:r w:rsidRPr="009A78AF">
        <w:rPr>
          <w:rFonts w:cs="Times New Roman"/>
          <w:vertAlign w:val="superscript"/>
        </w:rPr>
        <w:t>3</w:t>
      </w:r>
      <w:r>
        <w:rPr>
          <w:rFonts w:cs="Times New Roman"/>
        </w:rPr>
        <w:t xml:space="preserve"> s</w:t>
      </w:r>
      <w:r w:rsidRPr="009A78AF">
        <w:rPr>
          <w:rFonts w:cs="Times New Roman"/>
          <w:vertAlign w:val="superscript"/>
        </w:rPr>
        <w:t>-1</w:t>
      </w:r>
      <w:r>
        <w:rPr>
          <w:rFonts w:cs="Times New Roman"/>
        </w:rPr>
        <w:t>)</w:t>
      </w:r>
    </w:p>
    <w:p w:rsidR="009426CF" w:rsidRDefault="009426CF" w:rsidP="009426CF">
      <w:pPr>
        <w:rPr>
          <w:rFonts w:cs="Times New Roman"/>
        </w:rPr>
      </w:pPr>
    </w:p>
    <w:p w:rsidR="0050402B" w:rsidRDefault="009426CF" w:rsidP="009426CF">
      <w:pPr>
        <w:rPr>
          <w:rFonts w:cs="Times New Roman"/>
        </w:rPr>
      </w:pPr>
      <w:r>
        <w:rPr>
          <w:rFonts w:cs="Times New Roman"/>
        </w:rPr>
        <w:t>T</w:t>
      </w:r>
      <w:r w:rsidR="00B579C1">
        <w:rPr>
          <w:rFonts w:cs="Times New Roman"/>
        </w:rPr>
        <w:t xml:space="preserve">he parameters α1 and α2 (Table </w:t>
      </w:r>
      <w:r w:rsidR="00DD6992">
        <w:rPr>
          <w:rFonts w:cs="Times New Roman"/>
        </w:rPr>
        <w:t>6-</w:t>
      </w:r>
      <w:r w:rsidR="00B579C1">
        <w:rPr>
          <w:rFonts w:cs="Times New Roman"/>
        </w:rPr>
        <w:t>3</w:t>
      </w:r>
      <w:r>
        <w:rPr>
          <w:rFonts w:cs="Times New Roman"/>
        </w:rPr>
        <w:t>) have non-zero values only when flow exceeds 6,500 m</w:t>
      </w:r>
      <w:r w:rsidRPr="009A78AF">
        <w:rPr>
          <w:rFonts w:cs="Times New Roman"/>
          <w:vertAlign w:val="superscript"/>
        </w:rPr>
        <w:t>3</w:t>
      </w:r>
      <w:r>
        <w:rPr>
          <w:rFonts w:cs="Times New Roman"/>
        </w:rPr>
        <w:t xml:space="preserve"> s</w:t>
      </w:r>
      <w:r w:rsidRPr="009A78AF">
        <w:rPr>
          <w:rFonts w:cs="Times New Roman"/>
          <w:vertAlign w:val="superscript"/>
        </w:rPr>
        <w:t>-1</w:t>
      </w:r>
      <w:r>
        <w:rPr>
          <w:rFonts w:cs="Times New Roman"/>
        </w:rPr>
        <w:t>.  In the absence of information, the values of FLPON and FRPON determined for the Susquehanna are transferred to the other river i</w:t>
      </w:r>
      <w:r w:rsidR="0050402B">
        <w:rPr>
          <w:rFonts w:cs="Times New Roman"/>
        </w:rPr>
        <w:t>nputs without flow effects.</w:t>
      </w:r>
    </w:p>
    <w:p w:rsidR="0050402B" w:rsidRDefault="0050402B" w:rsidP="009426CF">
      <w:pPr>
        <w:rPr>
          <w:rFonts w:cs="Times New Roman"/>
        </w:rPr>
      </w:pPr>
    </w:p>
    <w:p w:rsidR="0050402B" w:rsidRPr="00925E16" w:rsidRDefault="0050402B" w:rsidP="009426CF">
      <w:pPr>
        <w:rPr>
          <w:rFonts w:ascii="Arial" w:hAnsi="Arial"/>
          <w:b/>
        </w:rPr>
      </w:pPr>
      <w:r w:rsidRPr="00925E16">
        <w:rPr>
          <w:rFonts w:ascii="Arial" w:hAnsi="Arial"/>
          <w:b/>
        </w:rPr>
        <w:t>Organic and Particulate Inorganic Phosphorus</w:t>
      </w:r>
    </w:p>
    <w:p w:rsidR="0050402B" w:rsidRDefault="0050402B" w:rsidP="009426CF">
      <w:pPr>
        <w:rPr>
          <w:rFonts w:cs="Times New Roman"/>
        </w:rPr>
      </w:pPr>
    </w:p>
    <w:p w:rsidR="009426CF" w:rsidRDefault="0050402B" w:rsidP="009426CF">
      <w:pPr>
        <w:rPr>
          <w:rFonts w:cs="Times New Roman"/>
        </w:rPr>
      </w:pPr>
      <w:r>
        <w:rPr>
          <w:rFonts w:cs="Times New Roman"/>
        </w:rPr>
        <w:lastRenderedPageBreak/>
        <w:tab/>
        <w:t>The routing of WSM organic phosphorus into WQM state variables is similar to organic nitrogen.  The presence of particulate inorganic phosphorus (PIP) requires an additional step, however.  Both the WSM and the WQM include PIP state variables but their nature differs in the two mod</w:t>
      </w:r>
      <w:r w:rsidR="00DD6992">
        <w:rPr>
          <w:rFonts w:cs="Times New Roman"/>
        </w:rPr>
        <w:t xml:space="preserve">els.  PIP in the WSM is loosely </w:t>
      </w:r>
      <w:proofErr w:type="spellStart"/>
      <w:r>
        <w:rPr>
          <w:rFonts w:cs="Times New Roman"/>
        </w:rPr>
        <w:t>sorbed</w:t>
      </w:r>
      <w:proofErr w:type="spellEnd"/>
      <w:r>
        <w:rPr>
          <w:rFonts w:cs="Times New Roman"/>
        </w:rPr>
        <w:t xml:space="preserve"> to sediment particles.  The amount </w:t>
      </w:r>
      <w:proofErr w:type="spellStart"/>
      <w:r>
        <w:rPr>
          <w:rFonts w:cs="Times New Roman"/>
        </w:rPr>
        <w:t>sorbed</w:t>
      </w:r>
      <w:proofErr w:type="spellEnd"/>
      <w:r>
        <w:rPr>
          <w:rFonts w:cs="Times New Roman"/>
        </w:rPr>
        <w:t xml:space="preserve"> is determined by a linear partition coefficient.  </w:t>
      </w:r>
      <w:r w:rsidR="00954EF2">
        <w:rPr>
          <w:rFonts w:cs="Times New Roman"/>
        </w:rPr>
        <w:t>Reversible e</w:t>
      </w:r>
      <w:r w:rsidR="004B72FE">
        <w:rPr>
          <w:rFonts w:cs="Times New Roman"/>
        </w:rPr>
        <w:t xml:space="preserve">xchange is possible between dissolved and particulate form.  In the WQM, PIP is an independent form of phosphorus which </w:t>
      </w:r>
      <w:r w:rsidR="00DD6992">
        <w:rPr>
          <w:rFonts w:cs="Times New Roman"/>
        </w:rPr>
        <w:t xml:space="preserve">potentially decays to </w:t>
      </w:r>
      <w:proofErr w:type="gramStart"/>
      <w:r w:rsidR="00DD6992">
        <w:rPr>
          <w:rFonts w:cs="Times New Roman"/>
        </w:rPr>
        <w:t>dissolved</w:t>
      </w:r>
      <w:proofErr w:type="gramEnd"/>
      <w:r w:rsidR="00DD6992">
        <w:rPr>
          <w:rFonts w:cs="Times New Roman"/>
        </w:rPr>
        <w:t xml:space="preserve"> inorganic form at a first-order rate</w:t>
      </w:r>
      <w:r w:rsidR="004B72FE">
        <w:rPr>
          <w:rFonts w:cs="Times New Roman"/>
        </w:rPr>
        <w:t xml:space="preserve">.  In view of the differences in these two PIP variables, WSM PIP is first combined with organic phosphorus.  The combination is then mapped into WQM variables (Figure </w:t>
      </w:r>
      <w:r w:rsidR="00DD6992">
        <w:rPr>
          <w:rFonts w:cs="Times New Roman"/>
        </w:rPr>
        <w:t>6-</w:t>
      </w:r>
      <w:r w:rsidR="004B72FE">
        <w:rPr>
          <w:rFonts w:cs="Times New Roman"/>
        </w:rPr>
        <w:t>4).  The steps necessary to route WSM organic phosphorus and PIP into WQM state variables are:</w:t>
      </w:r>
      <w:r>
        <w:rPr>
          <w:rFonts w:cs="Times New Roman"/>
        </w:rPr>
        <w:t xml:space="preserve">     </w:t>
      </w:r>
      <w:r w:rsidR="009426CF">
        <w:rPr>
          <w:rFonts w:cs="Times New Roman"/>
        </w:rPr>
        <w:t xml:space="preserve">    </w:t>
      </w:r>
    </w:p>
    <w:p w:rsidR="009A78AF" w:rsidRPr="009A78AF" w:rsidRDefault="009A78AF" w:rsidP="009A78AF">
      <w:pPr>
        <w:rPr>
          <w:rFonts w:cs="Times New Roman"/>
        </w:rPr>
      </w:pPr>
    </w:p>
    <w:p w:rsidR="004B72FE" w:rsidRDefault="004B72FE" w:rsidP="004B72FE">
      <w:pPr>
        <w:pStyle w:val="ListParagraph"/>
        <w:numPr>
          <w:ilvl w:val="0"/>
          <w:numId w:val="6"/>
        </w:numPr>
        <w:rPr>
          <w:rFonts w:cs="Times New Roman"/>
        </w:rPr>
      </w:pPr>
      <w:r>
        <w:rPr>
          <w:rFonts w:cs="Times New Roman"/>
        </w:rPr>
        <w:t>Combine WSM organic phosphorus and particulate inorganic phosphorus.</w:t>
      </w:r>
    </w:p>
    <w:p w:rsidR="004B72FE" w:rsidRPr="0096022D" w:rsidRDefault="004B72FE" w:rsidP="004B72FE">
      <w:pPr>
        <w:pStyle w:val="ListParagraph"/>
        <w:numPr>
          <w:ilvl w:val="0"/>
          <w:numId w:val="6"/>
        </w:numPr>
        <w:rPr>
          <w:rFonts w:cs="Times New Roman"/>
        </w:rPr>
      </w:pPr>
      <w:r w:rsidRPr="0096022D">
        <w:rPr>
          <w:rFonts w:cs="Times New Roman"/>
        </w:rPr>
        <w:t>Remove the am</w:t>
      </w:r>
      <w:r>
        <w:rPr>
          <w:rFonts w:cs="Times New Roman"/>
        </w:rPr>
        <w:t>ount of phosphorus</w:t>
      </w:r>
      <w:r w:rsidRPr="0096022D">
        <w:rPr>
          <w:rFonts w:cs="Times New Roman"/>
        </w:rPr>
        <w:t xml:space="preserve"> associated with phytoplankton loads.</w:t>
      </w:r>
    </w:p>
    <w:p w:rsidR="004B72FE" w:rsidRDefault="004B72FE" w:rsidP="004B72FE">
      <w:pPr>
        <w:pStyle w:val="ListParagraph"/>
        <w:numPr>
          <w:ilvl w:val="0"/>
          <w:numId w:val="6"/>
        </w:numPr>
        <w:rPr>
          <w:rFonts w:cs="Times New Roman"/>
        </w:rPr>
      </w:pPr>
      <w:r>
        <w:rPr>
          <w:rFonts w:cs="Times New Roman"/>
        </w:rPr>
        <w:t>Split the combination</w:t>
      </w:r>
      <w:r w:rsidRPr="0096022D">
        <w:rPr>
          <w:rFonts w:cs="Times New Roman"/>
        </w:rPr>
        <w:t xml:space="preserve"> into particulate and dissolved forms.</w:t>
      </w:r>
    </w:p>
    <w:p w:rsidR="004B72FE" w:rsidRPr="0096022D" w:rsidRDefault="004B72FE" w:rsidP="004B72FE">
      <w:pPr>
        <w:pStyle w:val="ListParagraph"/>
        <w:numPr>
          <w:ilvl w:val="0"/>
          <w:numId w:val="6"/>
        </w:numPr>
        <w:rPr>
          <w:rFonts w:cs="Times New Roman"/>
        </w:rPr>
      </w:pPr>
      <w:r>
        <w:rPr>
          <w:rFonts w:cs="Times New Roman"/>
        </w:rPr>
        <w:t>Split particulate phosphorus into organic and inorganic forms.</w:t>
      </w:r>
    </w:p>
    <w:p w:rsidR="004B72FE" w:rsidRDefault="004B72FE" w:rsidP="004B72FE">
      <w:pPr>
        <w:pStyle w:val="ListParagraph"/>
        <w:numPr>
          <w:ilvl w:val="0"/>
          <w:numId w:val="6"/>
        </w:numPr>
        <w:rPr>
          <w:rFonts w:cs="Times New Roman"/>
        </w:rPr>
      </w:pPr>
      <w:r w:rsidRPr="0096022D">
        <w:rPr>
          <w:rFonts w:cs="Times New Roman"/>
        </w:rPr>
        <w:t xml:space="preserve">Split </w:t>
      </w:r>
      <w:r>
        <w:rPr>
          <w:rFonts w:cs="Times New Roman"/>
        </w:rPr>
        <w:t>particulate organic phosphorus</w:t>
      </w:r>
      <w:r w:rsidRPr="0096022D">
        <w:rPr>
          <w:rFonts w:cs="Times New Roman"/>
        </w:rPr>
        <w:t xml:space="preserve"> into three reactive classes.</w:t>
      </w:r>
    </w:p>
    <w:p w:rsidR="004B72FE" w:rsidRPr="0096022D" w:rsidRDefault="004B72FE" w:rsidP="004B72FE">
      <w:pPr>
        <w:rPr>
          <w:rFonts w:cs="Times New Roman"/>
        </w:rPr>
      </w:pPr>
    </w:p>
    <w:p w:rsidR="009A78AF" w:rsidRDefault="004B72FE" w:rsidP="00FA5DC4">
      <w:pPr>
        <w:ind w:firstLine="720"/>
        <w:rPr>
          <w:rFonts w:cs="Times New Roman"/>
        </w:rPr>
      </w:pPr>
      <w:r>
        <w:rPr>
          <w:rFonts w:cs="Times New Roman"/>
        </w:rPr>
        <w:t xml:space="preserve">The reasoning behind the removal of algal phosphorus is analogous to removal of algal nitrogen.  Likewise, the splits between dissolved and particulate phosphorus are </w:t>
      </w:r>
      <w:r w:rsidR="00FA5DC4">
        <w:rPr>
          <w:rFonts w:cs="Times New Roman"/>
        </w:rPr>
        <w:t>determined for individual riv</w:t>
      </w:r>
      <w:r w:rsidR="00B90A1F">
        <w:rPr>
          <w:rFonts w:cs="Times New Roman"/>
        </w:rPr>
        <w:t>er inflows based on median fraction</w:t>
      </w:r>
      <w:r w:rsidR="00FA5DC4">
        <w:rPr>
          <w:rFonts w:cs="Times New Roman"/>
        </w:rPr>
        <w:t xml:space="preserve">s observed immediately below the </w:t>
      </w:r>
      <w:r w:rsidR="00B90A1F">
        <w:rPr>
          <w:rFonts w:cs="Times New Roman"/>
        </w:rPr>
        <w:t xml:space="preserve">river </w:t>
      </w:r>
      <w:r w:rsidR="00FA5DC4">
        <w:rPr>
          <w:rFonts w:cs="Times New Roman"/>
        </w:rPr>
        <w:t xml:space="preserve">inputs (Table </w:t>
      </w:r>
      <w:r w:rsidR="00954EF2">
        <w:rPr>
          <w:rFonts w:cs="Times New Roman"/>
        </w:rPr>
        <w:t>6-</w:t>
      </w:r>
      <w:r w:rsidR="00FA5DC4">
        <w:rPr>
          <w:rFonts w:cs="Times New Roman"/>
        </w:rPr>
        <w:t>2).</w:t>
      </w:r>
      <w:r w:rsidR="00B90A1F">
        <w:rPr>
          <w:rFonts w:cs="Times New Roman"/>
        </w:rPr>
        <w:t xml:space="preserve">  Observations collected at the river inputs indicate PIP represents a consistent faction of particulate phosphorus (Figures </w:t>
      </w:r>
      <w:r w:rsidR="00954EF2">
        <w:rPr>
          <w:rFonts w:cs="Times New Roman"/>
        </w:rPr>
        <w:t>6-</w:t>
      </w:r>
      <w:r w:rsidR="00B90A1F">
        <w:rPr>
          <w:rFonts w:cs="Times New Roman"/>
        </w:rPr>
        <w:t xml:space="preserve">5, </w:t>
      </w:r>
      <w:r w:rsidR="00954EF2">
        <w:rPr>
          <w:rFonts w:cs="Times New Roman"/>
        </w:rPr>
        <w:t>6-</w:t>
      </w:r>
      <w:r w:rsidR="00B90A1F">
        <w:rPr>
          <w:rFonts w:cs="Times New Roman"/>
        </w:rPr>
        <w:t xml:space="preserve">6).  Fractions </w:t>
      </w:r>
      <w:r w:rsidR="00602C6B">
        <w:rPr>
          <w:rFonts w:cs="Times New Roman"/>
        </w:rPr>
        <w:t xml:space="preserve">based on observations (Table </w:t>
      </w:r>
      <w:r w:rsidR="00954EF2">
        <w:rPr>
          <w:rFonts w:cs="Times New Roman"/>
        </w:rPr>
        <w:t>6-</w:t>
      </w:r>
      <w:r w:rsidR="00602C6B">
        <w:rPr>
          <w:rFonts w:cs="Times New Roman"/>
        </w:rPr>
        <w:t xml:space="preserve">2) were </w:t>
      </w:r>
      <w:r w:rsidR="00B90A1F">
        <w:rPr>
          <w:rFonts w:cs="Times New Roman"/>
        </w:rPr>
        <w:t>used to split particulate phosphorus into</w:t>
      </w:r>
      <w:r w:rsidR="00602C6B">
        <w:rPr>
          <w:rFonts w:cs="Times New Roman"/>
        </w:rPr>
        <w:t xml:space="preserve"> organic and inorganic forms at each river inflow location.  Particulate organic phosphorus was split into reactive classes with relationships analogous to Equations 1-3.  Parameters ap</w:t>
      </w:r>
      <w:r w:rsidR="00B579C1">
        <w:rPr>
          <w:rFonts w:cs="Times New Roman"/>
        </w:rPr>
        <w:t xml:space="preserve">propriate to phosphorus (Table </w:t>
      </w:r>
      <w:r w:rsidR="00954EF2">
        <w:rPr>
          <w:rFonts w:cs="Times New Roman"/>
        </w:rPr>
        <w:t>6-</w:t>
      </w:r>
      <w:r w:rsidR="00B579C1">
        <w:rPr>
          <w:rFonts w:cs="Times New Roman"/>
        </w:rPr>
        <w:t>3</w:t>
      </w:r>
      <w:r w:rsidR="00954EF2">
        <w:rPr>
          <w:rFonts w:cs="Times New Roman"/>
        </w:rPr>
        <w:t>) a</w:t>
      </w:r>
      <w:r w:rsidR="00602C6B">
        <w:rPr>
          <w:rFonts w:cs="Times New Roman"/>
        </w:rPr>
        <w:t xml:space="preserve">re obtained from the same study which provided the nitrogen parameters.  </w:t>
      </w:r>
      <w:r w:rsidR="00B90A1F">
        <w:rPr>
          <w:rFonts w:cs="Times New Roman"/>
        </w:rPr>
        <w:t xml:space="preserve"> </w:t>
      </w:r>
      <w:r w:rsidR="00FA5DC4">
        <w:rPr>
          <w:rFonts w:cs="Times New Roman"/>
        </w:rPr>
        <w:t xml:space="preserve">  </w:t>
      </w:r>
      <w:r>
        <w:rPr>
          <w:rFonts w:cs="Times New Roman"/>
        </w:rPr>
        <w:t xml:space="preserve"> </w:t>
      </w:r>
    </w:p>
    <w:p w:rsidR="00520A09" w:rsidRDefault="00520A09" w:rsidP="00520A09">
      <w:pPr>
        <w:rPr>
          <w:rFonts w:cs="Times New Roman"/>
        </w:rPr>
      </w:pPr>
    </w:p>
    <w:p w:rsidR="00520A09" w:rsidRPr="009022FD" w:rsidRDefault="00520A09" w:rsidP="00520A09">
      <w:pPr>
        <w:rPr>
          <w:rFonts w:ascii="Arial" w:hAnsi="Arial"/>
          <w:b/>
        </w:rPr>
      </w:pPr>
      <w:r w:rsidRPr="009022FD">
        <w:rPr>
          <w:rFonts w:ascii="Arial" w:hAnsi="Arial"/>
          <w:b/>
        </w:rPr>
        <w:t>Organic Carbon</w:t>
      </w:r>
    </w:p>
    <w:p w:rsidR="00520A09" w:rsidRDefault="00520A09" w:rsidP="00520A09">
      <w:pPr>
        <w:rPr>
          <w:rFonts w:cs="Times New Roman"/>
        </w:rPr>
      </w:pPr>
    </w:p>
    <w:p w:rsidR="00097A81" w:rsidRDefault="00520A09" w:rsidP="00097A81">
      <w:pPr>
        <w:ind w:firstLine="720"/>
        <w:rPr>
          <w:rFonts w:cs="Times New Roman"/>
        </w:rPr>
      </w:pPr>
      <w:r>
        <w:rPr>
          <w:rFonts w:cs="Times New Roman"/>
        </w:rPr>
        <w:t xml:space="preserve">The WSM has no state variable corresponding to the WQM organic carbon suite.  Watershed organic carbon loads are derived by ratio to organic nitrogen.  The ratios (Table </w:t>
      </w:r>
      <w:r w:rsidR="00954EF2">
        <w:rPr>
          <w:rFonts w:cs="Times New Roman"/>
        </w:rPr>
        <w:t>6-</w:t>
      </w:r>
      <w:r>
        <w:rPr>
          <w:rFonts w:cs="Times New Roman"/>
        </w:rPr>
        <w:t>2) were derived from observations at the river inputs and are adapted here from the 2010 TMDL model (</w:t>
      </w:r>
      <w:proofErr w:type="spellStart"/>
      <w:r>
        <w:rPr>
          <w:rFonts w:cs="Times New Roman"/>
        </w:rPr>
        <w:t>Cerco</w:t>
      </w:r>
      <w:proofErr w:type="spellEnd"/>
      <w:r>
        <w:rPr>
          <w:rFonts w:cs="Times New Roman"/>
        </w:rPr>
        <w:t xml:space="preserve"> et al. 2010).  The distribution of watershed organic carbon into WQM state variables is analogous to the process for organic nitrogen.  First, organic carbon is split into dissolved and particulate forms.  Then the particulate organic carbon is routed into three reaction classes.   The splits between particulate and dissolved form are the same as for organic nitrogen.  Routing of particulate organic carbon into reaction classes</w:t>
      </w:r>
      <w:r w:rsidR="00097A81">
        <w:rPr>
          <w:rFonts w:cs="Times New Roman"/>
        </w:rPr>
        <w:t xml:space="preserve"> is conducted via relationships analogous to Equations 1-3.  Parameters appropriate to carbon</w:t>
      </w:r>
      <w:r w:rsidR="00B579C1">
        <w:rPr>
          <w:rFonts w:cs="Times New Roman"/>
        </w:rPr>
        <w:t xml:space="preserve"> (Table </w:t>
      </w:r>
      <w:r w:rsidR="00954EF2">
        <w:rPr>
          <w:rFonts w:cs="Times New Roman"/>
        </w:rPr>
        <w:t>6-</w:t>
      </w:r>
      <w:r w:rsidR="00B579C1">
        <w:rPr>
          <w:rFonts w:cs="Times New Roman"/>
        </w:rPr>
        <w:t>3</w:t>
      </w:r>
      <w:r w:rsidR="00097A81">
        <w:rPr>
          <w:rFonts w:cs="Times New Roman"/>
        </w:rPr>
        <w:t xml:space="preserve">) are obtained from the same study which provided the nitrogen parameters.    </w:t>
      </w:r>
    </w:p>
    <w:p w:rsidR="00097A81" w:rsidRDefault="00097A81" w:rsidP="00097A81">
      <w:pPr>
        <w:rPr>
          <w:rFonts w:cs="Times New Roman"/>
        </w:rPr>
      </w:pPr>
    </w:p>
    <w:p w:rsidR="00097A81" w:rsidRPr="007116BD" w:rsidRDefault="00097A81" w:rsidP="00097A81">
      <w:pPr>
        <w:rPr>
          <w:rFonts w:ascii="Arial" w:hAnsi="Arial"/>
          <w:b/>
          <w:sz w:val="28"/>
          <w:szCs w:val="28"/>
        </w:rPr>
      </w:pPr>
      <w:r w:rsidRPr="007116BD">
        <w:rPr>
          <w:rFonts w:ascii="Arial" w:hAnsi="Arial"/>
          <w:b/>
          <w:sz w:val="28"/>
          <w:szCs w:val="28"/>
        </w:rPr>
        <w:t>Point-Source Loads</w:t>
      </w:r>
    </w:p>
    <w:p w:rsidR="00097A81" w:rsidRDefault="00097A81" w:rsidP="00097A81">
      <w:pPr>
        <w:rPr>
          <w:rFonts w:cs="Times New Roman"/>
        </w:rPr>
      </w:pPr>
    </w:p>
    <w:p w:rsidR="00097A81" w:rsidRDefault="00097A81" w:rsidP="00097A81">
      <w:pPr>
        <w:rPr>
          <w:rFonts w:cs="Times New Roman"/>
        </w:rPr>
      </w:pPr>
      <w:r>
        <w:rPr>
          <w:rFonts w:cs="Times New Roman"/>
        </w:rPr>
        <w:lastRenderedPageBreak/>
        <w:tab/>
        <w:t xml:space="preserve">The WQM considers loads from municipal and industrial sources located along the tidal shoreline of the Bay and tributaries.  Loads from point sources above the fall lines of major tributaries are incorporated into the watershed loads.  Point-source loads are provided by the CBP in a format similar to watershed loads.  The loads are provided in </w:t>
      </w:r>
      <w:r w:rsidR="004C6A9F">
        <w:rPr>
          <w:rFonts w:cs="Times New Roman"/>
        </w:rPr>
        <w:t>annual files which contain dai</w:t>
      </w:r>
      <w:r>
        <w:rPr>
          <w:rFonts w:cs="Times New Roman"/>
        </w:rPr>
        <w:t>ly loa</w:t>
      </w:r>
      <w:r w:rsidR="00064D8D">
        <w:rPr>
          <w:rFonts w:cs="Times New Roman"/>
        </w:rPr>
        <w:t xml:space="preserve">ds routed to WQM surface cells.  Constituents in the files are similar to outputs from the WSM (Table </w:t>
      </w:r>
      <w:r w:rsidR="00954EF2">
        <w:rPr>
          <w:rFonts w:cs="Times New Roman"/>
        </w:rPr>
        <w:t>6-</w:t>
      </w:r>
      <w:r w:rsidR="00064D8D">
        <w:rPr>
          <w:rFonts w:cs="Times New Roman"/>
        </w:rPr>
        <w:t xml:space="preserve">1).  Routing of point-source loads into WQM state variables follows a process similar to the routing of WSM loads.  Point-source loads of organic nitrogen and phosphorus must be routed to the detailed suite of WQM state variables.  No point-source carbon loads are provided so the carbon loads must be derived from available information.  </w:t>
      </w:r>
    </w:p>
    <w:p w:rsidR="00EE1C89" w:rsidRDefault="00EE1C89" w:rsidP="00097A81">
      <w:pPr>
        <w:rPr>
          <w:rFonts w:cs="Times New Roman"/>
        </w:rPr>
      </w:pPr>
    </w:p>
    <w:p w:rsidR="004C6A9F" w:rsidRDefault="00EE1C89" w:rsidP="00097A81">
      <w:pPr>
        <w:rPr>
          <w:rFonts w:cs="Times New Roman"/>
        </w:rPr>
      </w:pPr>
      <w:r>
        <w:rPr>
          <w:rFonts w:cs="Times New Roman"/>
        </w:rPr>
        <w:tab/>
        <w:t xml:space="preserve">The data available to guide mapping of point-source loads into WQM </w:t>
      </w:r>
      <w:r w:rsidR="00ED3BD2">
        <w:rPr>
          <w:rFonts w:cs="Times New Roman"/>
        </w:rPr>
        <w:t xml:space="preserve">state variables is sparse.  Most </w:t>
      </w:r>
      <w:r>
        <w:rPr>
          <w:rFonts w:cs="Times New Roman"/>
        </w:rPr>
        <w:t xml:space="preserve">values employed here </w:t>
      </w:r>
      <w:r w:rsidR="00B579C1">
        <w:rPr>
          <w:rFonts w:cs="Times New Roman"/>
        </w:rPr>
        <w:t xml:space="preserve">(Table </w:t>
      </w:r>
      <w:r w:rsidR="00954EF2">
        <w:rPr>
          <w:rFonts w:cs="Times New Roman"/>
        </w:rPr>
        <w:t>6-</w:t>
      </w:r>
      <w:r w:rsidR="00B579C1">
        <w:rPr>
          <w:rFonts w:cs="Times New Roman"/>
        </w:rPr>
        <w:t>4</w:t>
      </w:r>
      <w:r>
        <w:rPr>
          <w:rFonts w:cs="Times New Roman"/>
        </w:rPr>
        <w:t>) are adopted from the 2002 model version (</w:t>
      </w:r>
      <w:proofErr w:type="spellStart"/>
      <w:r>
        <w:rPr>
          <w:rFonts w:cs="Times New Roman"/>
        </w:rPr>
        <w:t>Cerco</w:t>
      </w:r>
      <w:proofErr w:type="spellEnd"/>
      <w:r>
        <w:rPr>
          <w:rFonts w:cs="Times New Roman"/>
        </w:rPr>
        <w:t xml:space="preserve"> and Noel 2004).  Those values were based on sampling of Virginia point sources and on pre</w:t>
      </w:r>
      <w:r w:rsidR="007116BD">
        <w:rPr>
          <w:rFonts w:cs="Times New Roman"/>
        </w:rPr>
        <w:t>liminary experiments to determine reactivity.</w:t>
      </w:r>
      <w:r w:rsidR="00ED3BD2">
        <w:rPr>
          <w:rFonts w:cs="Times New Roman"/>
        </w:rPr>
        <w:t xml:space="preserve">  The determination of point-source carbon load is revised</w:t>
      </w:r>
      <w:r w:rsidR="004C6A9F">
        <w:rPr>
          <w:rFonts w:cs="Times New Roman"/>
        </w:rPr>
        <w:t xml:space="preserve"> from the 2002 model</w:t>
      </w:r>
      <w:r w:rsidR="00ED3BD2">
        <w:rPr>
          <w:rFonts w:cs="Times New Roman"/>
        </w:rPr>
        <w:t xml:space="preserve">, however, and is now based on ratio to BOD5 rather than nitrogen load. </w:t>
      </w:r>
      <w:r>
        <w:rPr>
          <w:rFonts w:cs="Times New Roman"/>
        </w:rPr>
        <w:t xml:space="preserve"> </w:t>
      </w:r>
    </w:p>
    <w:p w:rsidR="004C6A9F" w:rsidRDefault="004C6A9F" w:rsidP="00097A81">
      <w:pPr>
        <w:rPr>
          <w:rFonts w:cs="Times New Roman"/>
        </w:rPr>
      </w:pPr>
    </w:p>
    <w:p w:rsidR="004C6A9F" w:rsidRPr="00FE391C" w:rsidRDefault="004C6A9F" w:rsidP="00097A81">
      <w:pPr>
        <w:rPr>
          <w:rFonts w:ascii="Arial" w:hAnsi="Arial"/>
          <w:b/>
          <w:sz w:val="28"/>
          <w:szCs w:val="28"/>
        </w:rPr>
      </w:pPr>
      <w:r w:rsidRPr="00FE391C">
        <w:rPr>
          <w:rFonts w:ascii="Arial" w:hAnsi="Arial"/>
          <w:b/>
          <w:sz w:val="28"/>
          <w:szCs w:val="28"/>
        </w:rPr>
        <w:t>Shoreline Erosion</w:t>
      </w:r>
    </w:p>
    <w:p w:rsidR="004C6A9F" w:rsidRDefault="004C6A9F" w:rsidP="00097A81">
      <w:pPr>
        <w:rPr>
          <w:rFonts w:cs="Times New Roman"/>
        </w:rPr>
      </w:pPr>
    </w:p>
    <w:p w:rsidR="0043183F" w:rsidRDefault="004C6A9F" w:rsidP="00097A81">
      <w:pPr>
        <w:rPr>
          <w:rFonts w:cs="Times New Roman"/>
        </w:rPr>
      </w:pPr>
      <w:r>
        <w:rPr>
          <w:rFonts w:cs="Times New Roman"/>
        </w:rPr>
        <w:tab/>
      </w:r>
      <w:r w:rsidR="00E1046F">
        <w:rPr>
          <w:rFonts w:cs="Times New Roman"/>
        </w:rPr>
        <w:t>N</w:t>
      </w:r>
      <w:r>
        <w:rPr>
          <w:rFonts w:cs="Times New Roman"/>
        </w:rPr>
        <w:t>utrient loads fr</w:t>
      </w:r>
      <w:r w:rsidR="00065F59">
        <w:rPr>
          <w:rFonts w:cs="Times New Roman"/>
        </w:rPr>
        <w:t xml:space="preserve">om shoreline erosion were </w:t>
      </w:r>
      <w:r w:rsidR="00E1046F">
        <w:rPr>
          <w:rFonts w:cs="Times New Roman"/>
        </w:rPr>
        <w:t xml:space="preserve">initially </w:t>
      </w:r>
      <w:r w:rsidR="00065F59">
        <w:rPr>
          <w:rFonts w:cs="Times New Roman"/>
        </w:rPr>
        <w:t>calculat</w:t>
      </w:r>
      <w:r>
        <w:rPr>
          <w:rFonts w:cs="Times New Roman"/>
        </w:rPr>
        <w:t>ed and implemented by the WQM team.  Subsequently, these loads were incorporated into the WSM.  Incorp</w:t>
      </w:r>
      <w:r w:rsidR="00065F59">
        <w:rPr>
          <w:rFonts w:cs="Times New Roman"/>
        </w:rPr>
        <w:t>oration into the WSM facilitated</w:t>
      </w:r>
      <w:r>
        <w:rPr>
          <w:rFonts w:cs="Times New Roman"/>
        </w:rPr>
        <w:t xml:space="preserve"> implementation of credits for management actions to control shoreline erosion.  </w:t>
      </w:r>
      <w:r w:rsidR="00065F59">
        <w:rPr>
          <w:rFonts w:cs="Times New Roman"/>
        </w:rPr>
        <w:t xml:space="preserve">Shoreline erosion loads of solids and nutrients were provided </w:t>
      </w:r>
      <w:r w:rsidR="00A71284">
        <w:rPr>
          <w:rFonts w:cs="Times New Roman"/>
        </w:rPr>
        <w:t xml:space="preserve">by the CBP </w:t>
      </w:r>
      <w:r w:rsidR="00065F59">
        <w:rPr>
          <w:rFonts w:cs="Times New Roman"/>
        </w:rPr>
        <w:t>as annual files containing daily loads routed to WQM surface cells.  Daily loads were assigned in proportion to runoff.  Care was taken so that annual loads to each WQM cell equaled the loads computed using long-term average shoreline recession rates (Chapter 5).</w:t>
      </w:r>
    </w:p>
    <w:p w:rsidR="0043183F" w:rsidRDefault="0043183F" w:rsidP="00097A81">
      <w:pPr>
        <w:rPr>
          <w:rFonts w:cs="Times New Roman"/>
        </w:rPr>
      </w:pPr>
    </w:p>
    <w:p w:rsidR="00EE1C89" w:rsidRDefault="0043183F" w:rsidP="00097A81">
      <w:pPr>
        <w:rPr>
          <w:rFonts w:cs="Times New Roman"/>
        </w:rPr>
      </w:pPr>
      <w:r>
        <w:rPr>
          <w:rFonts w:cs="Times New Roman"/>
        </w:rPr>
        <w:tab/>
        <w:t xml:space="preserve">Following precedent for distributed and point-source loads, carbon loads from shoreline erosion were computed from available information since organic carbon is not a WSM variable.  The carbon fraction of shoreline solids, </w:t>
      </w:r>
      <w:r>
        <w:t>4.35 mg C</w:t>
      </w:r>
      <w:r>
        <w:t xml:space="preserve"> g</w:t>
      </w:r>
      <w:r w:rsidRPr="003E645D">
        <w:rPr>
          <w:vertAlign w:val="superscript"/>
        </w:rPr>
        <w:t>-1</w:t>
      </w:r>
      <w:r>
        <w:t xml:space="preserve"> solids</w:t>
      </w:r>
      <w:r>
        <w:t xml:space="preserve">, was taken as the mean of values reported by </w:t>
      </w:r>
      <w:proofErr w:type="spellStart"/>
      <w:r>
        <w:t>Ibison</w:t>
      </w:r>
      <w:proofErr w:type="spellEnd"/>
      <w:r w:rsidR="00E1046F">
        <w:t xml:space="preserve"> et al.</w:t>
      </w:r>
      <w:r>
        <w:t xml:space="preserve"> (</w:t>
      </w:r>
      <w:r w:rsidR="00E1046F">
        <w:t>1990</w:t>
      </w:r>
      <w:r>
        <w:t xml:space="preserve">).  Daily loads were computed as the product of carbon fraction and daily solids loads.  </w:t>
      </w:r>
      <w:r w:rsidR="00FE391C">
        <w:t xml:space="preserve">Organic carbon was split 20% refractory </w:t>
      </w:r>
      <w:r w:rsidR="00FE36A4">
        <w:t xml:space="preserve">particulate </w:t>
      </w:r>
      <w:r w:rsidR="00FE391C">
        <w:t>and 80% G3, consistent with values employed for nitrogen and phosphorus (Chapter 5).</w:t>
      </w:r>
      <w:r w:rsidR="00065F59">
        <w:rPr>
          <w:rFonts w:cs="Times New Roman"/>
        </w:rPr>
        <w:t xml:space="preserve">    </w:t>
      </w:r>
      <w:r w:rsidR="00EE1C89">
        <w:rPr>
          <w:rFonts w:cs="Times New Roman"/>
        </w:rPr>
        <w:t xml:space="preserve"> </w:t>
      </w:r>
    </w:p>
    <w:p w:rsidR="007116BD" w:rsidRDefault="007116BD" w:rsidP="00097A81">
      <w:pPr>
        <w:rPr>
          <w:rFonts w:cs="Times New Roman"/>
        </w:rPr>
      </w:pPr>
    </w:p>
    <w:p w:rsidR="007116BD" w:rsidRPr="00B439F2" w:rsidRDefault="007116BD" w:rsidP="00097A81">
      <w:pPr>
        <w:rPr>
          <w:rFonts w:ascii="Arial" w:hAnsi="Arial"/>
          <w:b/>
          <w:sz w:val="28"/>
          <w:szCs w:val="28"/>
        </w:rPr>
      </w:pPr>
      <w:r w:rsidRPr="00B439F2">
        <w:rPr>
          <w:rFonts w:ascii="Arial" w:hAnsi="Arial"/>
          <w:b/>
          <w:sz w:val="28"/>
          <w:szCs w:val="28"/>
        </w:rPr>
        <w:t>Atmospheric Loads</w:t>
      </w:r>
    </w:p>
    <w:p w:rsidR="007116BD" w:rsidRDefault="007116BD" w:rsidP="00097A81">
      <w:pPr>
        <w:rPr>
          <w:rFonts w:cs="Times New Roman"/>
        </w:rPr>
      </w:pPr>
    </w:p>
    <w:p w:rsidR="007116BD" w:rsidRDefault="007116BD" w:rsidP="003F7156">
      <w:pPr>
        <w:rPr>
          <w:rFonts w:cs="Times New Roman"/>
        </w:rPr>
      </w:pPr>
      <w:r>
        <w:rPr>
          <w:rFonts w:cs="Times New Roman"/>
        </w:rPr>
        <w:tab/>
        <w:t>The WQM</w:t>
      </w:r>
      <w:r w:rsidR="00B439F2">
        <w:rPr>
          <w:rFonts w:cs="Times New Roman"/>
        </w:rPr>
        <w:t xml:space="preserve"> incorporates atmospheric nitrogen and phosphoru</w:t>
      </w:r>
      <w:r w:rsidR="003F7156">
        <w:rPr>
          <w:rFonts w:cs="Times New Roman"/>
        </w:rPr>
        <w:t>s loads to the water surface.  Atmospheric l</w:t>
      </w:r>
      <w:r w:rsidR="00B439F2">
        <w:rPr>
          <w:rFonts w:cs="Times New Roman"/>
        </w:rPr>
        <w:t>oads to the la</w:t>
      </w:r>
      <w:r w:rsidR="003F7156">
        <w:rPr>
          <w:rFonts w:cs="Times New Roman"/>
        </w:rPr>
        <w:t>nd surface are incorporat</w:t>
      </w:r>
      <w:r w:rsidR="00E41BCF">
        <w:rPr>
          <w:rFonts w:cs="Times New Roman"/>
        </w:rPr>
        <w:t>ed in</w:t>
      </w:r>
      <w:r w:rsidR="003F7156">
        <w:rPr>
          <w:rFonts w:cs="Times New Roman"/>
        </w:rPr>
        <w:t>to</w:t>
      </w:r>
      <w:r w:rsidR="00B439F2">
        <w:rPr>
          <w:rFonts w:cs="Times New Roman"/>
        </w:rPr>
        <w:t xml:space="preserve"> the watershed loads.  Atmospheric loads were provided by the CBP in annual files which contained daily loads to WQM surface cells.  Loads included ammonium, nitrate</w:t>
      </w:r>
      <w:r w:rsidR="00A6466C">
        <w:rPr>
          <w:rFonts w:cs="Times New Roman"/>
        </w:rPr>
        <w:t>,</w:t>
      </w:r>
      <w:r w:rsidR="00B439F2">
        <w:rPr>
          <w:rFonts w:cs="Times New Roman"/>
        </w:rPr>
        <w:t xml:space="preserve"> organic nitrogen, phosphate, and organic phosphorus.  </w:t>
      </w:r>
      <w:r w:rsidR="003F7156">
        <w:rPr>
          <w:rFonts w:cs="Times New Roman"/>
        </w:rPr>
        <w:t>Organic nitrogen and phosphorus loads were split 20% refractory particulate and 80% G3, consisten</w:t>
      </w:r>
      <w:r w:rsidR="00A71284">
        <w:rPr>
          <w:rFonts w:cs="Times New Roman"/>
        </w:rPr>
        <w:t>t</w:t>
      </w:r>
      <w:r w:rsidR="003F7156">
        <w:rPr>
          <w:rFonts w:cs="Times New Roman"/>
        </w:rPr>
        <w:t xml:space="preserve"> with shoreline erosion loads.  </w:t>
      </w:r>
    </w:p>
    <w:p w:rsidR="00097A81" w:rsidRDefault="00097A81" w:rsidP="00097A81">
      <w:pPr>
        <w:rPr>
          <w:rFonts w:cs="Times New Roman"/>
        </w:rPr>
      </w:pPr>
      <w:r>
        <w:rPr>
          <w:rFonts w:cs="Times New Roman"/>
        </w:rPr>
        <w:t xml:space="preserve">  </w:t>
      </w:r>
    </w:p>
    <w:p w:rsidR="00A71284" w:rsidRDefault="00A71284">
      <w:pPr>
        <w:rPr>
          <w:rFonts w:ascii="Arial" w:hAnsi="Arial"/>
          <w:b/>
          <w:sz w:val="28"/>
          <w:szCs w:val="28"/>
        </w:rPr>
      </w:pPr>
    </w:p>
    <w:p w:rsidR="000602F0" w:rsidRPr="00815D30" w:rsidRDefault="000602F0">
      <w:pPr>
        <w:rPr>
          <w:rFonts w:ascii="Arial" w:hAnsi="Arial"/>
          <w:b/>
          <w:sz w:val="28"/>
          <w:szCs w:val="28"/>
        </w:rPr>
      </w:pPr>
      <w:r w:rsidRPr="00815D30">
        <w:rPr>
          <w:rFonts w:ascii="Arial" w:hAnsi="Arial"/>
          <w:b/>
          <w:sz w:val="28"/>
          <w:szCs w:val="28"/>
        </w:rPr>
        <w:lastRenderedPageBreak/>
        <w:t>References</w:t>
      </w:r>
    </w:p>
    <w:p w:rsidR="000602F0" w:rsidRPr="002B3ECD" w:rsidRDefault="000602F0">
      <w:pPr>
        <w:rPr>
          <w:rFonts w:cs="Times New Roman"/>
        </w:rPr>
      </w:pPr>
    </w:p>
    <w:p w:rsidR="00466018" w:rsidRPr="002B3ECD" w:rsidRDefault="00466018" w:rsidP="00466018">
      <w:pPr>
        <w:ind w:left="720" w:hanging="720"/>
        <w:rPr>
          <w:rFonts w:cs="Times New Roman"/>
        </w:rPr>
      </w:pPr>
      <w:proofErr w:type="spellStart"/>
      <w:proofErr w:type="gramStart"/>
      <w:r w:rsidRPr="002B3ECD">
        <w:rPr>
          <w:rFonts w:cs="Times New Roman"/>
        </w:rPr>
        <w:t>Cerco</w:t>
      </w:r>
      <w:proofErr w:type="spellEnd"/>
      <w:r w:rsidRPr="002B3ECD">
        <w:rPr>
          <w:rFonts w:cs="Times New Roman"/>
        </w:rPr>
        <w:t>, C.F. and Cole, T. M. (1994).</w:t>
      </w:r>
      <w:proofErr w:type="gramEnd"/>
      <w:r w:rsidRPr="002B3ECD">
        <w:rPr>
          <w:rFonts w:cs="Times New Roman"/>
        </w:rPr>
        <w:t xml:space="preserve"> “Three-dimensional eutrophication model of Chesapeake Bay,” Technical Report EL-94-4, U.S. Army Engineer Waterways Experiment Station, Vicksburg MS.</w:t>
      </w:r>
    </w:p>
    <w:p w:rsidR="00DF21FC" w:rsidRPr="002B3ECD" w:rsidRDefault="00DF21FC" w:rsidP="00B51965">
      <w:pPr>
        <w:rPr>
          <w:rFonts w:cs="Times New Roman"/>
        </w:rPr>
      </w:pPr>
    </w:p>
    <w:p w:rsidR="00BC60A4" w:rsidRDefault="00B41F6F" w:rsidP="00BC60A4">
      <w:pPr>
        <w:ind w:left="720" w:hanging="720"/>
      </w:pPr>
      <w:proofErr w:type="spellStart"/>
      <w:proofErr w:type="gramStart"/>
      <w:r>
        <w:t>Cerco</w:t>
      </w:r>
      <w:proofErr w:type="spellEnd"/>
      <w:r>
        <w:t>, C., and Noel, M. (2004</w:t>
      </w:r>
      <w:r w:rsidR="00BC60A4">
        <w:t>).</w:t>
      </w:r>
      <w:proofErr w:type="gramEnd"/>
      <w:r w:rsidR="00BC60A4">
        <w:t xml:space="preserve"> “The 2002 Chesapeake Bay eutrophication model,” EPA 903-R-04-004, Chesapeake Bay Program Office, US Environmental Protection Agency, Annapolis MD. (</w:t>
      </w:r>
      <w:proofErr w:type="gramStart"/>
      <w:r w:rsidR="00BC60A4">
        <w:t>available</w:t>
      </w:r>
      <w:proofErr w:type="gramEnd"/>
      <w:r w:rsidR="00BC60A4">
        <w:t xml:space="preserve"> at </w:t>
      </w:r>
      <w:hyperlink r:id="rId10" w:history="1">
        <w:r w:rsidR="0054448C" w:rsidRPr="00980DB1">
          <w:rPr>
            <w:rStyle w:val="Hyperlink"/>
          </w:rPr>
          <w:t>http://www.chesapeakebay.net/modsc.htm</w:t>
        </w:r>
      </w:hyperlink>
      <w:r w:rsidR="00BC60A4">
        <w:t>)</w:t>
      </w:r>
    </w:p>
    <w:p w:rsidR="0054448C" w:rsidRDefault="0054448C" w:rsidP="00BC60A4">
      <w:pPr>
        <w:ind w:left="720" w:hanging="720"/>
      </w:pPr>
    </w:p>
    <w:p w:rsidR="004B717A" w:rsidRDefault="004B717A" w:rsidP="004B717A">
      <w:pPr>
        <w:ind w:left="720" w:hanging="720"/>
      </w:pPr>
      <w:proofErr w:type="spellStart"/>
      <w:proofErr w:type="gramStart"/>
      <w:r>
        <w:t>Cerco</w:t>
      </w:r>
      <w:proofErr w:type="spellEnd"/>
      <w:r>
        <w:t>, C., Kim, S.-C.</w:t>
      </w:r>
      <w:proofErr w:type="gramEnd"/>
      <w:r>
        <w:t xml:space="preserve"> </w:t>
      </w:r>
      <w:proofErr w:type="gramStart"/>
      <w:r>
        <w:t>and</w:t>
      </w:r>
      <w:proofErr w:type="gramEnd"/>
      <w:r>
        <w:t xml:space="preserve"> Noel, M. (2010). </w:t>
      </w:r>
      <w:proofErr w:type="gramStart"/>
      <w:r>
        <w:t>“The 2010 Chesapeake Bay eutrophication model,” Chesapeake Bay Program Office, US Environmental Protection Agency, Annapolis MD.</w:t>
      </w:r>
      <w:proofErr w:type="gramEnd"/>
      <w:r>
        <w:t xml:space="preserve"> (</w:t>
      </w:r>
      <w:proofErr w:type="gramStart"/>
      <w:r>
        <w:t>available</w:t>
      </w:r>
      <w:proofErr w:type="gramEnd"/>
      <w:r>
        <w:t xml:space="preserve"> at </w:t>
      </w:r>
      <w:hyperlink r:id="rId11" w:history="1">
        <w:r w:rsidRPr="001B3F98">
          <w:rPr>
            <w:rStyle w:val="Hyperlink"/>
          </w:rPr>
          <w:t>http://www.chesapeakebay.net/publications/title/the_2010_chesapeake_bay_eutrophication_model1</w:t>
        </w:r>
      </w:hyperlink>
      <w:r>
        <w:t>)</w:t>
      </w:r>
    </w:p>
    <w:p w:rsidR="00BD3687" w:rsidRDefault="00BD3687" w:rsidP="004B717A">
      <w:pPr>
        <w:ind w:left="720" w:hanging="720"/>
      </w:pPr>
    </w:p>
    <w:p w:rsidR="00E1046F" w:rsidRDefault="00E1046F" w:rsidP="00E1046F">
      <w:pPr>
        <w:ind w:left="720" w:hanging="720"/>
      </w:pPr>
      <w:proofErr w:type="spellStart"/>
      <w:proofErr w:type="gramStart"/>
      <w:r>
        <w:t>Ibison</w:t>
      </w:r>
      <w:proofErr w:type="spellEnd"/>
      <w:r>
        <w:t>, N., Frye, C., Frye, J., Hill, C., and Berger, N. (1990).</w:t>
      </w:r>
      <w:proofErr w:type="gramEnd"/>
      <w:r>
        <w:t xml:space="preserve"> </w:t>
      </w:r>
      <w:proofErr w:type="gramStart"/>
      <w:r>
        <w:t>“Sediment and nutrient contributions of selected eroding banks of the Chesapeake Bay estuarine system,” Division of Soil and Water Conservation, Shoreline Programs Bureau, Gloucester Point, VA.</w:t>
      </w:r>
      <w:proofErr w:type="gramEnd"/>
    </w:p>
    <w:p w:rsidR="00E1046F" w:rsidRDefault="00E1046F" w:rsidP="00E1046F">
      <w:pPr>
        <w:ind w:left="720" w:hanging="720"/>
      </w:pPr>
    </w:p>
    <w:p w:rsidR="00BD3687" w:rsidRPr="00BD3687" w:rsidRDefault="00BD3687" w:rsidP="00BD3687">
      <w:pPr>
        <w:ind w:left="720" w:hanging="720"/>
      </w:pPr>
      <w:r>
        <w:t>Zhang, Q. (2017). “</w:t>
      </w:r>
      <w:r w:rsidRPr="00BD3687">
        <w:t xml:space="preserve">Fractions of G1/G2/G3 Particulate Organics Scoured from the </w:t>
      </w:r>
      <w:proofErr w:type="spellStart"/>
      <w:r w:rsidRPr="00BD3687">
        <w:t>Conowingo</w:t>
      </w:r>
      <w:proofErr w:type="spellEnd"/>
      <w:r w:rsidRPr="00BD3687">
        <w:t xml:space="preserve"> Reservoir</w:t>
      </w:r>
      <w:r>
        <w:t xml:space="preserve">,” </w:t>
      </w:r>
      <w:r w:rsidRPr="00BD3687">
        <w:t xml:space="preserve">Chesapeake Bay Program Modeling Workgroup April </w:t>
      </w:r>
      <w:r>
        <w:t xml:space="preserve">2017 </w:t>
      </w:r>
      <w:r w:rsidRPr="00BD3687">
        <w:t>Quarterly Review</w:t>
      </w:r>
      <w:r>
        <w:t xml:space="preserve">, </w:t>
      </w:r>
      <w:r w:rsidRPr="00BD3687">
        <w:t>Annapolis, MD</w:t>
      </w:r>
      <w:r>
        <w:t>. (</w:t>
      </w:r>
      <w:proofErr w:type="gramStart"/>
      <w:r>
        <w:t>available</w:t>
      </w:r>
      <w:proofErr w:type="gramEnd"/>
      <w:r>
        <w:t xml:space="preserve"> at </w:t>
      </w:r>
      <w:hyperlink r:id="rId12" w:history="1">
        <w:r>
          <w:rPr>
            <w:rStyle w:val="Hyperlink"/>
            <w:rFonts w:ascii="Calibri" w:hAnsi="Calibri" w:cs="Calibri"/>
          </w:rPr>
          <w:t>https://www.chesapeakebay.net/channel_files/24719/2017-04-04_conowingo_hdr_g1g2g3_2.pdf</w:t>
        </w:r>
      </w:hyperlink>
      <w:r>
        <w:rPr>
          <w:rFonts w:ascii="Calibri" w:hAnsi="Calibri" w:cs="Calibri"/>
          <w:color w:val="1F497D"/>
        </w:rPr>
        <w:t>)</w:t>
      </w:r>
    </w:p>
    <w:p w:rsidR="00BD3687" w:rsidRDefault="00BD3687" w:rsidP="004B717A">
      <w:pPr>
        <w:ind w:left="720" w:hanging="720"/>
      </w:pPr>
    </w:p>
    <w:p w:rsidR="004B717A" w:rsidRDefault="004B717A" w:rsidP="004B717A">
      <w:pPr>
        <w:ind w:left="720" w:hanging="720"/>
      </w:pPr>
    </w:p>
    <w:p w:rsidR="002E29D8" w:rsidRDefault="002E29D8" w:rsidP="002E29D8">
      <w:pPr>
        <w:ind w:left="720" w:hanging="720"/>
      </w:pPr>
    </w:p>
    <w:p w:rsidR="008B337C" w:rsidRDefault="008B337C" w:rsidP="002E29D8">
      <w:pPr>
        <w:ind w:left="720" w:hanging="720"/>
      </w:pPr>
    </w:p>
    <w:tbl>
      <w:tblPr>
        <w:tblW w:w="8460" w:type="dxa"/>
        <w:tblInd w:w="85" w:type="dxa"/>
        <w:tblLook w:val="04A0" w:firstRow="1" w:lastRow="0" w:firstColumn="1" w:lastColumn="0" w:noHBand="0" w:noVBand="1"/>
      </w:tblPr>
      <w:tblGrid>
        <w:gridCol w:w="2860"/>
        <w:gridCol w:w="1600"/>
        <w:gridCol w:w="4000"/>
      </w:tblGrid>
      <w:tr w:rsidR="008B337C" w:rsidRPr="008B337C" w:rsidTr="008B337C">
        <w:trPr>
          <w:trHeight w:val="330"/>
        </w:trPr>
        <w:tc>
          <w:tcPr>
            <w:tcW w:w="8460" w:type="dxa"/>
            <w:gridSpan w:val="3"/>
            <w:tcBorders>
              <w:top w:val="double" w:sz="6" w:space="0" w:color="auto"/>
              <w:left w:val="double" w:sz="6" w:space="0" w:color="auto"/>
              <w:bottom w:val="nil"/>
              <w:right w:val="double" w:sz="6" w:space="0" w:color="000000"/>
            </w:tcBorders>
            <w:shd w:val="clear" w:color="auto" w:fill="auto"/>
            <w:noWrap/>
            <w:vAlign w:val="bottom"/>
            <w:hideMark/>
          </w:tcPr>
          <w:p w:rsidR="008B337C" w:rsidRDefault="008B337C" w:rsidP="008B337C">
            <w:pPr>
              <w:rPr>
                <w:rFonts w:ascii="Arial" w:hAnsi="Arial"/>
                <w:b/>
                <w:color w:val="000000"/>
              </w:rPr>
            </w:pPr>
            <w:r w:rsidRPr="008B337C">
              <w:rPr>
                <w:rFonts w:ascii="Arial" w:hAnsi="Arial"/>
                <w:b/>
                <w:color w:val="000000"/>
              </w:rPr>
              <w:t xml:space="preserve">Table </w:t>
            </w:r>
            <w:r w:rsidR="00F23EBB">
              <w:rPr>
                <w:rFonts w:ascii="Arial" w:hAnsi="Arial"/>
                <w:b/>
                <w:color w:val="000000"/>
              </w:rPr>
              <w:t>6-</w:t>
            </w:r>
            <w:r w:rsidRPr="008B337C">
              <w:rPr>
                <w:rFonts w:ascii="Arial" w:hAnsi="Arial"/>
                <w:b/>
                <w:color w:val="000000"/>
              </w:rPr>
              <w:t xml:space="preserve">1 </w:t>
            </w:r>
          </w:p>
          <w:p w:rsidR="008B337C" w:rsidRPr="008B337C" w:rsidRDefault="008B337C" w:rsidP="008B337C">
            <w:pPr>
              <w:rPr>
                <w:rFonts w:ascii="Arial" w:hAnsi="Arial"/>
                <w:b/>
                <w:color w:val="000000"/>
              </w:rPr>
            </w:pPr>
            <w:r w:rsidRPr="008B337C">
              <w:rPr>
                <w:rFonts w:ascii="Arial" w:hAnsi="Arial"/>
                <w:b/>
                <w:color w:val="000000"/>
              </w:rPr>
              <w:t>Cons</w:t>
            </w:r>
            <w:r w:rsidR="00F23EBB">
              <w:rPr>
                <w:rFonts w:ascii="Arial" w:hAnsi="Arial"/>
                <w:b/>
                <w:color w:val="000000"/>
              </w:rPr>
              <w:t>t</w:t>
            </w:r>
            <w:r w:rsidRPr="008B337C">
              <w:rPr>
                <w:rFonts w:ascii="Arial" w:hAnsi="Arial"/>
                <w:b/>
                <w:color w:val="000000"/>
              </w:rPr>
              <w:t>ituents in Watershed and Water Quality Models</w:t>
            </w:r>
          </w:p>
        </w:tc>
      </w:tr>
      <w:tr w:rsidR="008B337C" w:rsidRPr="008B337C" w:rsidTr="008B337C">
        <w:trPr>
          <w:trHeight w:val="330"/>
        </w:trPr>
        <w:tc>
          <w:tcPr>
            <w:tcW w:w="2860" w:type="dxa"/>
            <w:tcBorders>
              <w:top w:val="double" w:sz="6" w:space="0" w:color="auto"/>
              <w:left w:val="double" w:sz="6" w:space="0" w:color="auto"/>
              <w:bottom w:val="double" w:sz="6" w:space="0" w:color="auto"/>
              <w:right w:val="single" w:sz="4" w:space="0" w:color="auto"/>
            </w:tcBorders>
            <w:shd w:val="clear" w:color="auto" w:fill="auto"/>
            <w:vAlign w:val="center"/>
            <w:hideMark/>
          </w:tcPr>
          <w:p w:rsidR="008B337C" w:rsidRPr="008B337C" w:rsidRDefault="008B337C" w:rsidP="008B337C">
            <w:pPr>
              <w:jc w:val="center"/>
              <w:rPr>
                <w:rFonts w:ascii="Arial" w:hAnsi="Arial"/>
                <w:b/>
                <w:color w:val="000000"/>
                <w:sz w:val="16"/>
                <w:szCs w:val="16"/>
              </w:rPr>
            </w:pPr>
            <w:r w:rsidRPr="008B337C">
              <w:rPr>
                <w:rFonts w:ascii="Arial" w:hAnsi="Arial"/>
                <w:b/>
                <w:color w:val="000000"/>
                <w:sz w:val="16"/>
                <w:szCs w:val="16"/>
              </w:rPr>
              <w:t>WSM Variable</w:t>
            </w:r>
          </w:p>
        </w:tc>
        <w:tc>
          <w:tcPr>
            <w:tcW w:w="1600" w:type="dxa"/>
            <w:tcBorders>
              <w:top w:val="double" w:sz="6" w:space="0" w:color="auto"/>
              <w:left w:val="nil"/>
              <w:bottom w:val="double" w:sz="6" w:space="0" w:color="auto"/>
              <w:right w:val="single" w:sz="4" w:space="0" w:color="auto"/>
            </w:tcBorders>
            <w:shd w:val="clear" w:color="auto" w:fill="auto"/>
            <w:vAlign w:val="center"/>
            <w:hideMark/>
          </w:tcPr>
          <w:p w:rsidR="008B337C" w:rsidRPr="008B337C" w:rsidRDefault="008B337C" w:rsidP="008B337C">
            <w:pPr>
              <w:jc w:val="center"/>
              <w:rPr>
                <w:rFonts w:ascii="Arial" w:hAnsi="Arial"/>
                <w:b/>
                <w:color w:val="000000"/>
                <w:sz w:val="16"/>
                <w:szCs w:val="16"/>
              </w:rPr>
            </w:pPr>
            <w:r w:rsidRPr="008B337C">
              <w:rPr>
                <w:rFonts w:ascii="Arial" w:hAnsi="Arial"/>
                <w:b/>
                <w:color w:val="000000"/>
                <w:sz w:val="16"/>
                <w:szCs w:val="16"/>
              </w:rPr>
              <w:t>Maps to</w:t>
            </w:r>
          </w:p>
        </w:tc>
        <w:tc>
          <w:tcPr>
            <w:tcW w:w="4000" w:type="dxa"/>
            <w:tcBorders>
              <w:top w:val="double" w:sz="6" w:space="0" w:color="auto"/>
              <w:left w:val="nil"/>
              <w:bottom w:val="double" w:sz="6" w:space="0" w:color="auto"/>
              <w:right w:val="double" w:sz="6" w:space="0" w:color="auto"/>
            </w:tcBorders>
            <w:shd w:val="clear" w:color="auto" w:fill="auto"/>
            <w:vAlign w:val="center"/>
            <w:hideMark/>
          </w:tcPr>
          <w:p w:rsidR="008B337C" w:rsidRPr="008B337C" w:rsidRDefault="008B337C" w:rsidP="008B337C">
            <w:pPr>
              <w:jc w:val="center"/>
              <w:rPr>
                <w:rFonts w:ascii="Arial" w:hAnsi="Arial"/>
                <w:b/>
                <w:color w:val="000000"/>
                <w:sz w:val="16"/>
                <w:szCs w:val="16"/>
              </w:rPr>
            </w:pPr>
            <w:r w:rsidRPr="008B337C">
              <w:rPr>
                <w:rFonts w:ascii="Arial" w:hAnsi="Arial"/>
                <w:b/>
                <w:color w:val="000000"/>
                <w:sz w:val="16"/>
                <w:szCs w:val="16"/>
              </w:rPr>
              <w:t>WQM Variable</w:t>
            </w:r>
          </w:p>
        </w:tc>
      </w:tr>
      <w:tr w:rsidR="008B337C" w:rsidRPr="008B337C" w:rsidTr="008B337C">
        <w:trPr>
          <w:trHeight w:val="315"/>
        </w:trPr>
        <w:tc>
          <w:tcPr>
            <w:tcW w:w="2860" w:type="dxa"/>
            <w:tcBorders>
              <w:top w:val="nil"/>
              <w:left w:val="double" w:sz="6" w:space="0" w:color="auto"/>
              <w:bottom w:val="single" w:sz="4" w:space="0" w:color="auto"/>
              <w:right w:val="single" w:sz="4" w:space="0" w:color="auto"/>
            </w:tcBorders>
            <w:shd w:val="clear" w:color="auto" w:fill="auto"/>
            <w:vAlign w:val="center"/>
            <w:hideMark/>
          </w:tcPr>
          <w:p w:rsidR="008B337C" w:rsidRP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Ammonium</w:t>
            </w:r>
          </w:p>
        </w:tc>
        <w:tc>
          <w:tcPr>
            <w:tcW w:w="1600" w:type="dxa"/>
            <w:tcBorders>
              <w:top w:val="nil"/>
              <w:left w:val="nil"/>
              <w:bottom w:val="single" w:sz="4" w:space="0" w:color="auto"/>
              <w:right w:val="single" w:sz="4" w:space="0" w:color="auto"/>
            </w:tcBorders>
            <w:shd w:val="clear" w:color="auto" w:fill="auto"/>
            <w:vAlign w:val="center"/>
            <w:hideMark/>
          </w:tcPr>
          <w:p w:rsidR="008B337C" w:rsidRPr="008B337C" w:rsidRDefault="008B337C" w:rsidP="008B337C">
            <w:pPr>
              <w:jc w:val="center"/>
              <w:rPr>
                <w:rFonts w:ascii="Arial" w:hAnsi="Arial"/>
                <w:b/>
                <w:color w:val="000000"/>
                <w:sz w:val="16"/>
                <w:szCs w:val="16"/>
              </w:rPr>
            </w:pPr>
            <w:r w:rsidRPr="008B337C">
              <w:rPr>
                <w:rFonts w:ascii="Arial" w:hAnsi="Arial"/>
                <w:b/>
                <w:color w:val="000000"/>
                <w:sz w:val="16"/>
                <w:szCs w:val="16"/>
              </w:rPr>
              <w:t xml:space="preserve">  ------&gt;</w:t>
            </w:r>
          </w:p>
        </w:tc>
        <w:tc>
          <w:tcPr>
            <w:tcW w:w="4000" w:type="dxa"/>
            <w:tcBorders>
              <w:top w:val="nil"/>
              <w:left w:val="nil"/>
              <w:bottom w:val="single" w:sz="4" w:space="0" w:color="auto"/>
              <w:right w:val="double" w:sz="6" w:space="0" w:color="auto"/>
            </w:tcBorders>
            <w:shd w:val="clear" w:color="auto" w:fill="auto"/>
            <w:vAlign w:val="center"/>
            <w:hideMark/>
          </w:tcPr>
          <w:p w:rsidR="008B337C" w:rsidRP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Ammonium</w:t>
            </w:r>
          </w:p>
        </w:tc>
      </w:tr>
      <w:tr w:rsidR="008B337C" w:rsidRPr="008B337C" w:rsidTr="008B337C">
        <w:trPr>
          <w:trHeight w:val="300"/>
        </w:trPr>
        <w:tc>
          <w:tcPr>
            <w:tcW w:w="2860" w:type="dxa"/>
            <w:tcBorders>
              <w:top w:val="nil"/>
              <w:left w:val="double" w:sz="6" w:space="0" w:color="auto"/>
              <w:bottom w:val="single" w:sz="4" w:space="0" w:color="auto"/>
              <w:right w:val="single" w:sz="4" w:space="0" w:color="auto"/>
            </w:tcBorders>
            <w:shd w:val="clear" w:color="auto" w:fill="auto"/>
            <w:vAlign w:val="center"/>
            <w:hideMark/>
          </w:tcPr>
          <w:p w:rsidR="008B337C" w:rsidRP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Nitrate</w:t>
            </w:r>
          </w:p>
        </w:tc>
        <w:tc>
          <w:tcPr>
            <w:tcW w:w="1600" w:type="dxa"/>
            <w:tcBorders>
              <w:top w:val="nil"/>
              <w:left w:val="nil"/>
              <w:bottom w:val="single" w:sz="4" w:space="0" w:color="auto"/>
              <w:right w:val="single" w:sz="4" w:space="0" w:color="auto"/>
            </w:tcBorders>
            <w:shd w:val="clear" w:color="auto" w:fill="auto"/>
            <w:vAlign w:val="center"/>
            <w:hideMark/>
          </w:tcPr>
          <w:p w:rsidR="008B337C" w:rsidRPr="008B337C" w:rsidRDefault="008B337C" w:rsidP="008B337C">
            <w:pPr>
              <w:jc w:val="center"/>
              <w:rPr>
                <w:rFonts w:ascii="Arial" w:hAnsi="Arial"/>
                <w:b/>
                <w:color w:val="000000"/>
                <w:sz w:val="16"/>
                <w:szCs w:val="16"/>
              </w:rPr>
            </w:pPr>
            <w:r w:rsidRPr="008B337C">
              <w:rPr>
                <w:rFonts w:ascii="Arial" w:hAnsi="Arial"/>
                <w:b/>
                <w:color w:val="000000"/>
                <w:sz w:val="16"/>
                <w:szCs w:val="16"/>
              </w:rPr>
              <w:t xml:space="preserve">  ------&gt;</w:t>
            </w:r>
          </w:p>
        </w:tc>
        <w:tc>
          <w:tcPr>
            <w:tcW w:w="4000" w:type="dxa"/>
            <w:tcBorders>
              <w:top w:val="nil"/>
              <w:left w:val="nil"/>
              <w:bottom w:val="single" w:sz="4" w:space="0" w:color="auto"/>
              <w:right w:val="double" w:sz="6" w:space="0" w:color="auto"/>
            </w:tcBorders>
            <w:shd w:val="clear" w:color="auto" w:fill="auto"/>
            <w:vAlign w:val="center"/>
            <w:hideMark/>
          </w:tcPr>
          <w:p w:rsidR="008B337C" w:rsidRP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Nitrate</w:t>
            </w:r>
          </w:p>
        </w:tc>
      </w:tr>
      <w:tr w:rsidR="008B337C" w:rsidRPr="008B337C" w:rsidTr="008B337C">
        <w:trPr>
          <w:trHeight w:val="675"/>
        </w:trPr>
        <w:tc>
          <w:tcPr>
            <w:tcW w:w="2860" w:type="dxa"/>
            <w:tcBorders>
              <w:top w:val="nil"/>
              <w:left w:val="double" w:sz="6" w:space="0" w:color="auto"/>
              <w:bottom w:val="single" w:sz="4" w:space="0" w:color="auto"/>
              <w:right w:val="single" w:sz="4" w:space="0" w:color="auto"/>
            </w:tcBorders>
            <w:shd w:val="clear" w:color="auto" w:fill="auto"/>
            <w:vAlign w:val="center"/>
            <w:hideMark/>
          </w:tcPr>
          <w:p w:rsidR="008B337C" w:rsidRP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Organic Nitrogen</w:t>
            </w:r>
          </w:p>
        </w:tc>
        <w:tc>
          <w:tcPr>
            <w:tcW w:w="1600" w:type="dxa"/>
            <w:tcBorders>
              <w:top w:val="nil"/>
              <w:left w:val="nil"/>
              <w:bottom w:val="single" w:sz="4" w:space="0" w:color="auto"/>
              <w:right w:val="single" w:sz="4" w:space="0" w:color="auto"/>
            </w:tcBorders>
            <w:shd w:val="clear" w:color="auto" w:fill="auto"/>
            <w:vAlign w:val="center"/>
            <w:hideMark/>
          </w:tcPr>
          <w:p w:rsidR="008B337C" w:rsidRPr="008B337C" w:rsidRDefault="008B337C" w:rsidP="008B337C">
            <w:pPr>
              <w:jc w:val="center"/>
              <w:rPr>
                <w:rFonts w:ascii="Arial" w:hAnsi="Arial"/>
                <w:b/>
                <w:color w:val="000000"/>
                <w:sz w:val="16"/>
                <w:szCs w:val="16"/>
              </w:rPr>
            </w:pPr>
            <w:r w:rsidRPr="008B337C">
              <w:rPr>
                <w:rFonts w:ascii="Arial" w:hAnsi="Arial"/>
                <w:b/>
                <w:color w:val="000000"/>
                <w:sz w:val="16"/>
                <w:szCs w:val="16"/>
              </w:rPr>
              <w:t xml:space="preserve">  ------&gt;</w:t>
            </w:r>
          </w:p>
        </w:tc>
        <w:tc>
          <w:tcPr>
            <w:tcW w:w="4000" w:type="dxa"/>
            <w:tcBorders>
              <w:top w:val="nil"/>
              <w:left w:val="nil"/>
              <w:bottom w:val="single" w:sz="4" w:space="0" w:color="auto"/>
              <w:right w:val="double" w:sz="6" w:space="0" w:color="auto"/>
            </w:tcBorders>
            <w:shd w:val="clear" w:color="auto" w:fill="auto"/>
            <w:vAlign w:val="center"/>
            <w:hideMark/>
          </w:tcPr>
          <w:p w:rsid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 xml:space="preserve">Dissolved Organic Nitrogen, </w:t>
            </w:r>
          </w:p>
          <w:p w:rsid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Labile Particulate Organic Nitrogen,</w:t>
            </w:r>
          </w:p>
          <w:p w:rsid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 xml:space="preserve"> Refractory Particulate Organic Nitrogen, </w:t>
            </w:r>
          </w:p>
          <w:p w:rsidR="008B337C" w:rsidRP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G3 Particulate Organic Nitrogen</w:t>
            </w:r>
          </w:p>
        </w:tc>
      </w:tr>
      <w:tr w:rsidR="008B337C" w:rsidRPr="008B337C" w:rsidTr="008B337C">
        <w:trPr>
          <w:trHeight w:val="300"/>
        </w:trPr>
        <w:tc>
          <w:tcPr>
            <w:tcW w:w="2860" w:type="dxa"/>
            <w:tcBorders>
              <w:top w:val="nil"/>
              <w:left w:val="double" w:sz="6" w:space="0" w:color="auto"/>
              <w:bottom w:val="single" w:sz="4" w:space="0" w:color="auto"/>
              <w:right w:val="single" w:sz="4" w:space="0" w:color="auto"/>
            </w:tcBorders>
            <w:shd w:val="clear" w:color="auto" w:fill="auto"/>
            <w:vAlign w:val="center"/>
            <w:hideMark/>
          </w:tcPr>
          <w:p w:rsidR="008B337C" w:rsidRP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Dissolved Phosphate</w:t>
            </w:r>
          </w:p>
        </w:tc>
        <w:tc>
          <w:tcPr>
            <w:tcW w:w="1600" w:type="dxa"/>
            <w:tcBorders>
              <w:top w:val="nil"/>
              <w:left w:val="nil"/>
              <w:bottom w:val="single" w:sz="4" w:space="0" w:color="auto"/>
              <w:right w:val="single" w:sz="4" w:space="0" w:color="auto"/>
            </w:tcBorders>
            <w:shd w:val="clear" w:color="auto" w:fill="auto"/>
            <w:vAlign w:val="center"/>
            <w:hideMark/>
          </w:tcPr>
          <w:p w:rsidR="008B337C" w:rsidRPr="008B337C" w:rsidRDefault="008B337C" w:rsidP="008B337C">
            <w:pPr>
              <w:jc w:val="center"/>
              <w:rPr>
                <w:rFonts w:ascii="Arial" w:hAnsi="Arial"/>
                <w:b/>
                <w:color w:val="000000"/>
                <w:sz w:val="16"/>
                <w:szCs w:val="16"/>
              </w:rPr>
            </w:pPr>
            <w:r w:rsidRPr="008B337C">
              <w:rPr>
                <w:rFonts w:ascii="Arial" w:hAnsi="Arial"/>
                <w:b/>
                <w:color w:val="000000"/>
                <w:sz w:val="16"/>
                <w:szCs w:val="16"/>
              </w:rPr>
              <w:t xml:space="preserve">  ------&gt;</w:t>
            </w:r>
          </w:p>
        </w:tc>
        <w:tc>
          <w:tcPr>
            <w:tcW w:w="4000" w:type="dxa"/>
            <w:tcBorders>
              <w:top w:val="nil"/>
              <w:left w:val="nil"/>
              <w:bottom w:val="single" w:sz="4" w:space="0" w:color="auto"/>
              <w:right w:val="double" w:sz="6" w:space="0" w:color="auto"/>
            </w:tcBorders>
            <w:shd w:val="clear" w:color="auto" w:fill="auto"/>
            <w:vAlign w:val="center"/>
            <w:hideMark/>
          </w:tcPr>
          <w:p w:rsidR="008B337C" w:rsidRP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Phosphate</w:t>
            </w:r>
          </w:p>
        </w:tc>
      </w:tr>
      <w:tr w:rsidR="008B337C" w:rsidRPr="008B337C" w:rsidTr="008B337C">
        <w:trPr>
          <w:trHeight w:val="915"/>
        </w:trPr>
        <w:tc>
          <w:tcPr>
            <w:tcW w:w="2860" w:type="dxa"/>
            <w:tcBorders>
              <w:top w:val="nil"/>
              <w:left w:val="double" w:sz="6" w:space="0" w:color="auto"/>
              <w:bottom w:val="double" w:sz="6" w:space="0" w:color="auto"/>
              <w:right w:val="single" w:sz="4" w:space="0" w:color="auto"/>
            </w:tcBorders>
            <w:shd w:val="clear" w:color="auto" w:fill="auto"/>
            <w:vAlign w:val="center"/>
            <w:hideMark/>
          </w:tcPr>
          <w:p w:rsidR="008B337C" w:rsidRP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Organic Phosphorus plus Particulate Inorganic Phosphorus</w:t>
            </w:r>
          </w:p>
        </w:tc>
        <w:tc>
          <w:tcPr>
            <w:tcW w:w="1600" w:type="dxa"/>
            <w:tcBorders>
              <w:top w:val="nil"/>
              <w:left w:val="nil"/>
              <w:bottom w:val="double" w:sz="6" w:space="0" w:color="auto"/>
              <w:right w:val="single" w:sz="4" w:space="0" w:color="auto"/>
            </w:tcBorders>
            <w:shd w:val="clear" w:color="auto" w:fill="auto"/>
            <w:vAlign w:val="center"/>
            <w:hideMark/>
          </w:tcPr>
          <w:p w:rsidR="008B337C" w:rsidRPr="008B337C" w:rsidRDefault="008B337C" w:rsidP="008B337C">
            <w:pPr>
              <w:jc w:val="center"/>
              <w:rPr>
                <w:rFonts w:ascii="Arial" w:hAnsi="Arial"/>
                <w:b/>
                <w:color w:val="000000"/>
                <w:sz w:val="16"/>
                <w:szCs w:val="16"/>
              </w:rPr>
            </w:pPr>
            <w:r w:rsidRPr="008B337C">
              <w:rPr>
                <w:rFonts w:ascii="Arial" w:hAnsi="Arial"/>
                <w:b/>
                <w:color w:val="000000"/>
                <w:sz w:val="16"/>
                <w:szCs w:val="16"/>
              </w:rPr>
              <w:t xml:space="preserve">  ------&gt;</w:t>
            </w:r>
          </w:p>
        </w:tc>
        <w:tc>
          <w:tcPr>
            <w:tcW w:w="4000" w:type="dxa"/>
            <w:tcBorders>
              <w:top w:val="nil"/>
              <w:left w:val="nil"/>
              <w:bottom w:val="double" w:sz="6" w:space="0" w:color="auto"/>
              <w:right w:val="double" w:sz="6" w:space="0" w:color="auto"/>
            </w:tcBorders>
            <w:shd w:val="clear" w:color="auto" w:fill="auto"/>
            <w:vAlign w:val="center"/>
            <w:hideMark/>
          </w:tcPr>
          <w:p w:rsid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 xml:space="preserve">Dissolved Organic Phosphorus, </w:t>
            </w:r>
          </w:p>
          <w:p w:rsid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 xml:space="preserve">Particulate Inorganic Phosphorus, </w:t>
            </w:r>
          </w:p>
          <w:p w:rsid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Labile Particulate Organic Phosphorus,</w:t>
            </w:r>
          </w:p>
          <w:p w:rsid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 xml:space="preserve"> Refractory Particulate Organic Phosphorus, </w:t>
            </w:r>
          </w:p>
          <w:p w:rsidR="008B337C" w:rsidRPr="008B337C" w:rsidRDefault="008B337C" w:rsidP="008B337C">
            <w:pPr>
              <w:jc w:val="center"/>
              <w:rPr>
                <w:rFonts w:ascii="Arial" w:hAnsi="Arial"/>
                <w:bCs w:val="0"/>
                <w:color w:val="000000"/>
                <w:sz w:val="16"/>
                <w:szCs w:val="16"/>
              </w:rPr>
            </w:pPr>
            <w:r w:rsidRPr="008B337C">
              <w:rPr>
                <w:rFonts w:ascii="Arial" w:hAnsi="Arial"/>
                <w:bCs w:val="0"/>
                <w:color w:val="000000"/>
                <w:sz w:val="16"/>
                <w:szCs w:val="16"/>
              </w:rPr>
              <w:t>G3 Particulate Organic Phosphorus</w:t>
            </w:r>
          </w:p>
        </w:tc>
      </w:tr>
    </w:tbl>
    <w:p w:rsidR="008B337C" w:rsidRDefault="008B337C" w:rsidP="002E29D8">
      <w:pPr>
        <w:ind w:left="720" w:hanging="720"/>
      </w:pPr>
    </w:p>
    <w:p w:rsidR="00CB5D64" w:rsidRDefault="00CB5D64" w:rsidP="002E29D8">
      <w:pPr>
        <w:ind w:left="720" w:hanging="720"/>
      </w:pPr>
    </w:p>
    <w:p w:rsidR="008C3B6D" w:rsidRDefault="008C3B6D" w:rsidP="002E29D8">
      <w:pPr>
        <w:ind w:left="720" w:hanging="720"/>
      </w:pPr>
    </w:p>
    <w:p w:rsidR="008C3B6D" w:rsidRDefault="008C3B6D" w:rsidP="002E29D8">
      <w:pPr>
        <w:ind w:left="720" w:hanging="720"/>
      </w:pPr>
    </w:p>
    <w:p w:rsidR="008C3B6D" w:rsidRDefault="008C3B6D" w:rsidP="00171EB7"/>
    <w:p w:rsidR="008C3B6D" w:rsidRDefault="008C3B6D" w:rsidP="002E29D8">
      <w:pPr>
        <w:ind w:left="720" w:hanging="720"/>
      </w:pPr>
      <w:bookmarkStart w:id="0" w:name="_GoBack"/>
      <w:bookmarkEnd w:id="0"/>
    </w:p>
    <w:p w:rsidR="008C3B6D" w:rsidRDefault="008C3B6D" w:rsidP="002E29D8">
      <w:pPr>
        <w:ind w:left="720" w:hanging="720"/>
      </w:pPr>
    </w:p>
    <w:tbl>
      <w:tblPr>
        <w:tblW w:w="7920" w:type="dxa"/>
        <w:tblInd w:w="85" w:type="dxa"/>
        <w:tblLook w:val="04A0" w:firstRow="1" w:lastRow="0" w:firstColumn="1" w:lastColumn="0" w:noHBand="0" w:noVBand="1"/>
      </w:tblPr>
      <w:tblGrid>
        <w:gridCol w:w="1900"/>
        <w:gridCol w:w="1480"/>
        <w:gridCol w:w="1520"/>
        <w:gridCol w:w="1480"/>
        <w:gridCol w:w="1540"/>
      </w:tblGrid>
      <w:tr w:rsidR="00CB5D64" w:rsidRPr="00CB5D64" w:rsidTr="00CB5D64">
        <w:trPr>
          <w:trHeight w:val="330"/>
        </w:trPr>
        <w:tc>
          <w:tcPr>
            <w:tcW w:w="7920" w:type="dxa"/>
            <w:gridSpan w:val="5"/>
            <w:tcBorders>
              <w:top w:val="double" w:sz="6" w:space="0" w:color="auto"/>
              <w:left w:val="double" w:sz="6" w:space="0" w:color="auto"/>
              <w:bottom w:val="nil"/>
              <w:right w:val="double" w:sz="6" w:space="0" w:color="000000"/>
            </w:tcBorders>
            <w:shd w:val="clear" w:color="auto" w:fill="auto"/>
            <w:noWrap/>
            <w:vAlign w:val="bottom"/>
            <w:hideMark/>
          </w:tcPr>
          <w:p w:rsidR="00CB5D64" w:rsidRDefault="00CB5D64" w:rsidP="00CB5D64">
            <w:pPr>
              <w:rPr>
                <w:rFonts w:ascii="Arial" w:hAnsi="Arial"/>
                <w:b/>
                <w:color w:val="000000"/>
              </w:rPr>
            </w:pPr>
            <w:r w:rsidRPr="00CB5D64">
              <w:rPr>
                <w:rFonts w:ascii="Arial" w:hAnsi="Arial"/>
                <w:b/>
                <w:color w:val="000000"/>
              </w:rPr>
              <w:t xml:space="preserve">Table </w:t>
            </w:r>
            <w:r w:rsidR="00F23EBB">
              <w:rPr>
                <w:rFonts w:ascii="Arial" w:hAnsi="Arial"/>
                <w:b/>
                <w:color w:val="000000"/>
              </w:rPr>
              <w:t>6-</w:t>
            </w:r>
            <w:r w:rsidRPr="00CB5D64">
              <w:rPr>
                <w:rFonts w:ascii="Arial" w:hAnsi="Arial"/>
                <w:b/>
                <w:color w:val="000000"/>
              </w:rPr>
              <w:t xml:space="preserve">2  </w:t>
            </w:r>
          </w:p>
          <w:p w:rsidR="00CB5D64" w:rsidRPr="00CB5D64" w:rsidRDefault="00CB5D64" w:rsidP="00CB5D64">
            <w:pPr>
              <w:rPr>
                <w:rFonts w:ascii="Arial" w:hAnsi="Arial"/>
                <w:b/>
                <w:color w:val="000000"/>
              </w:rPr>
            </w:pPr>
            <w:r w:rsidRPr="00CB5D64">
              <w:rPr>
                <w:rFonts w:ascii="Arial" w:hAnsi="Arial"/>
                <w:b/>
                <w:color w:val="000000"/>
              </w:rPr>
              <w:t>Routing WSM Organics into WQM State Variables</w:t>
            </w:r>
          </w:p>
        </w:tc>
      </w:tr>
      <w:tr w:rsidR="00CB5D64" w:rsidRPr="00CB5D64" w:rsidTr="00CB5D64">
        <w:trPr>
          <w:trHeight w:val="930"/>
        </w:trPr>
        <w:tc>
          <w:tcPr>
            <w:tcW w:w="1900" w:type="dxa"/>
            <w:tcBorders>
              <w:top w:val="double" w:sz="6" w:space="0" w:color="auto"/>
              <w:left w:val="double" w:sz="6" w:space="0" w:color="auto"/>
              <w:bottom w:val="double" w:sz="6" w:space="0" w:color="auto"/>
              <w:right w:val="single" w:sz="4" w:space="0" w:color="auto"/>
            </w:tcBorders>
            <w:shd w:val="clear" w:color="auto" w:fill="auto"/>
            <w:vAlign w:val="center"/>
            <w:hideMark/>
          </w:tcPr>
          <w:p w:rsidR="00CB5D64" w:rsidRPr="00CB5D64" w:rsidRDefault="00CB5D64" w:rsidP="00CB5D64">
            <w:pPr>
              <w:jc w:val="center"/>
              <w:rPr>
                <w:rFonts w:ascii="Arial" w:hAnsi="Arial"/>
                <w:b/>
                <w:color w:val="000000"/>
                <w:sz w:val="16"/>
                <w:szCs w:val="16"/>
              </w:rPr>
            </w:pPr>
            <w:r w:rsidRPr="00CB5D64">
              <w:rPr>
                <w:rFonts w:ascii="Arial" w:hAnsi="Arial"/>
                <w:b/>
                <w:color w:val="000000"/>
                <w:sz w:val="16"/>
                <w:szCs w:val="16"/>
              </w:rPr>
              <w:t>River</w:t>
            </w:r>
          </w:p>
        </w:tc>
        <w:tc>
          <w:tcPr>
            <w:tcW w:w="1480" w:type="dxa"/>
            <w:tcBorders>
              <w:top w:val="double" w:sz="6" w:space="0" w:color="auto"/>
              <w:left w:val="nil"/>
              <w:bottom w:val="double" w:sz="6" w:space="0" w:color="auto"/>
              <w:right w:val="single" w:sz="4" w:space="0" w:color="auto"/>
            </w:tcBorders>
            <w:shd w:val="clear" w:color="auto" w:fill="auto"/>
            <w:vAlign w:val="center"/>
            <w:hideMark/>
          </w:tcPr>
          <w:p w:rsidR="00CB5D64" w:rsidRPr="00CB5D64" w:rsidRDefault="00CB5D64" w:rsidP="00CB5D64">
            <w:pPr>
              <w:jc w:val="center"/>
              <w:rPr>
                <w:rFonts w:ascii="Arial" w:hAnsi="Arial"/>
                <w:b/>
                <w:color w:val="000000"/>
                <w:sz w:val="16"/>
                <w:szCs w:val="16"/>
              </w:rPr>
            </w:pPr>
            <w:r w:rsidRPr="00CB5D64">
              <w:rPr>
                <w:rFonts w:ascii="Arial" w:hAnsi="Arial"/>
                <w:b/>
                <w:color w:val="000000"/>
                <w:sz w:val="16"/>
                <w:szCs w:val="16"/>
              </w:rPr>
              <w:t>Fraction Particulate, Nitrogen and Carbon</w:t>
            </w:r>
          </w:p>
        </w:tc>
        <w:tc>
          <w:tcPr>
            <w:tcW w:w="1520" w:type="dxa"/>
            <w:tcBorders>
              <w:top w:val="double" w:sz="6" w:space="0" w:color="auto"/>
              <w:left w:val="nil"/>
              <w:bottom w:val="double" w:sz="6" w:space="0" w:color="auto"/>
              <w:right w:val="single" w:sz="4" w:space="0" w:color="auto"/>
            </w:tcBorders>
            <w:shd w:val="clear" w:color="auto" w:fill="auto"/>
            <w:vAlign w:val="center"/>
            <w:hideMark/>
          </w:tcPr>
          <w:p w:rsidR="00CB5D64" w:rsidRPr="00CB5D64" w:rsidRDefault="00CB5D64" w:rsidP="00CB5D64">
            <w:pPr>
              <w:jc w:val="center"/>
              <w:rPr>
                <w:rFonts w:ascii="Arial" w:hAnsi="Arial"/>
                <w:b/>
                <w:color w:val="000000"/>
                <w:sz w:val="16"/>
                <w:szCs w:val="16"/>
              </w:rPr>
            </w:pPr>
            <w:r w:rsidRPr="00CB5D64">
              <w:rPr>
                <w:rFonts w:ascii="Arial" w:hAnsi="Arial"/>
                <w:b/>
                <w:color w:val="000000"/>
                <w:sz w:val="16"/>
                <w:szCs w:val="16"/>
              </w:rPr>
              <w:t>Fraction Particulate, Phosphorus</w:t>
            </w:r>
          </w:p>
        </w:tc>
        <w:tc>
          <w:tcPr>
            <w:tcW w:w="1480" w:type="dxa"/>
            <w:tcBorders>
              <w:top w:val="double" w:sz="6" w:space="0" w:color="auto"/>
              <w:left w:val="nil"/>
              <w:bottom w:val="double" w:sz="6" w:space="0" w:color="auto"/>
              <w:right w:val="single" w:sz="4" w:space="0" w:color="auto"/>
            </w:tcBorders>
            <w:shd w:val="clear" w:color="auto" w:fill="auto"/>
            <w:vAlign w:val="center"/>
            <w:hideMark/>
          </w:tcPr>
          <w:p w:rsidR="00CB5D64" w:rsidRPr="00CB5D64" w:rsidRDefault="00CB5D64" w:rsidP="00CB5D64">
            <w:pPr>
              <w:jc w:val="center"/>
              <w:rPr>
                <w:rFonts w:ascii="Arial" w:hAnsi="Arial"/>
                <w:b/>
                <w:color w:val="000000"/>
                <w:sz w:val="16"/>
                <w:szCs w:val="16"/>
              </w:rPr>
            </w:pPr>
            <w:r w:rsidRPr="00CB5D64">
              <w:rPr>
                <w:rFonts w:ascii="Arial" w:hAnsi="Arial"/>
                <w:b/>
                <w:color w:val="000000"/>
                <w:sz w:val="16"/>
                <w:szCs w:val="16"/>
              </w:rPr>
              <w:t>Faction Particulate Inorganic Phosphorus</w:t>
            </w:r>
          </w:p>
        </w:tc>
        <w:tc>
          <w:tcPr>
            <w:tcW w:w="1540" w:type="dxa"/>
            <w:tcBorders>
              <w:top w:val="double" w:sz="6" w:space="0" w:color="auto"/>
              <w:left w:val="nil"/>
              <w:bottom w:val="double" w:sz="6" w:space="0" w:color="auto"/>
              <w:right w:val="double" w:sz="6" w:space="0" w:color="auto"/>
            </w:tcBorders>
            <w:shd w:val="clear" w:color="auto" w:fill="auto"/>
            <w:vAlign w:val="center"/>
            <w:hideMark/>
          </w:tcPr>
          <w:p w:rsidR="00CB5D64" w:rsidRPr="00CB5D64" w:rsidRDefault="00CB5D64" w:rsidP="00CB5D64">
            <w:pPr>
              <w:jc w:val="center"/>
              <w:rPr>
                <w:rFonts w:ascii="Arial" w:hAnsi="Arial"/>
                <w:b/>
                <w:color w:val="000000"/>
                <w:sz w:val="16"/>
                <w:szCs w:val="16"/>
              </w:rPr>
            </w:pPr>
            <w:r w:rsidRPr="00CB5D64">
              <w:rPr>
                <w:rFonts w:ascii="Arial" w:hAnsi="Arial"/>
                <w:b/>
                <w:color w:val="000000"/>
                <w:sz w:val="16"/>
                <w:szCs w:val="16"/>
              </w:rPr>
              <w:t>Carbon to Nitrogen Ratio</w:t>
            </w:r>
          </w:p>
        </w:tc>
      </w:tr>
      <w:tr w:rsidR="00CB5D64" w:rsidRPr="00CB5D64" w:rsidTr="00CB5D64">
        <w:trPr>
          <w:trHeight w:val="315"/>
        </w:trPr>
        <w:tc>
          <w:tcPr>
            <w:tcW w:w="190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Susquehanna</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0.4</w:t>
            </w:r>
          </w:p>
        </w:tc>
        <w:tc>
          <w:tcPr>
            <w:tcW w:w="152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0.65</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0.58</w:t>
            </w:r>
          </w:p>
        </w:tc>
        <w:tc>
          <w:tcPr>
            <w:tcW w:w="1540"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8</w:t>
            </w:r>
          </w:p>
        </w:tc>
      </w:tr>
      <w:tr w:rsidR="00CB5D64" w:rsidRPr="00CB5D64" w:rsidTr="00CB5D64">
        <w:trPr>
          <w:trHeight w:val="300"/>
        </w:trPr>
        <w:tc>
          <w:tcPr>
            <w:tcW w:w="190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Patuxent</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0.26</w:t>
            </w:r>
          </w:p>
        </w:tc>
        <w:tc>
          <w:tcPr>
            <w:tcW w:w="152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0.692</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w:t>
            </w:r>
          </w:p>
        </w:tc>
        <w:tc>
          <w:tcPr>
            <w:tcW w:w="1540"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6</w:t>
            </w:r>
          </w:p>
        </w:tc>
      </w:tr>
      <w:tr w:rsidR="00CB5D64" w:rsidRPr="00CB5D64" w:rsidTr="00CB5D64">
        <w:trPr>
          <w:trHeight w:val="300"/>
        </w:trPr>
        <w:tc>
          <w:tcPr>
            <w:tcW w:w="190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Potomac</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0.26</w:t>
            </w:r>
          </w:p>
        </w:tc>
        <w:tc>
          <w:tcPr>
            <w:tcW w:w="152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0.65</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0.47</w:t>
            </w:r>
          </w:p>
        </w:tc>
        <w:tc>
          <w:tcPr>
            <w:tcW w:w="1540"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8</w:t>
            </w:r>
          </w:p>
        </w:tc>
      </w:tr>
      <w:tr w:rsidR="00CB5D64" w:rsidRPr="00CB5D64" w:rsidTr="00CB5D64">
        <w:trPr>
          <w:trHeight w:val="300"/>
        </w:trPr>
        <w:tc>
          <w:tcPr>
            <w:tcW w:w="190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Rappahannock</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0.36</w:t>
            </w:r>
          </w:p>
        </w:tc>
        <w:tc>
          <w:tcPr>
            <w:tcW w:w="152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0.772</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w:t>
            </w:r>
          </w:p>
        </w:tc>
        <w:tc>
          <w:tcPr>
            <w:tcW w:w="1540"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8</w:t>
            </w:r>
          </w:p>
        </w:tc>
      </w:tr>
      <w:tr w:rsidR="00CB5D64" w:rsidRPr="00CB5D64" w:rsidTr="00CB5D64">
        <w:trPr>
          <w:trHeight w:val="300"/>
        </w:trPr>
        <w:tc>
          <w:tcPr>
            <w:tcW w:w="190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York</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0.21</w:t>
            </w:r>
          </w:p>
        </w:tc>
        <w:tc>
          <w:tcPr>
            <w:tcW w:w="152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0.516</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w:t>
            </w:r>
          </w:p>
        </w:tc>
        <w:tc>
          <w:tcPr>
            <w:tcW w:w="1540"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8</w:t>
            </w:r>
          </w:p>
        </w:tc>
      </w:tr>
      <w:tr w:rsidR="00CB5D64" w:rsidRPr="00CB5D64" w:rsidTr="00CB5D64">
        <w:trPr>
          <w:trHeight w:val="300"/>
        </w:trPr>
        <w:tc>
          <w:tcPr>
            <w:tcW w:w="190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James</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0.21</w:t>
            </w:r>
          </w:p>
        </w:tc>
        <w:tc>
          <w:tcPr>
            <w:tcW w:w="152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0.61</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w:t>
            </w:r>
          </w:p>
        </w:tc>
        <w:tc>
          <w:tcPr>
            <w:tcW w:w="1540"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8</w:t>
            </w:r>
          </w:p>
        </w:tc>
      </w:tr>
      <w:tr w:rsidR="00CB5D64" w:rsidRPr="00CB5D64" w:rsidTr="00CB5D64">
        <w:trPr>
          <w:trHeight w:val="300"/>
        </w:trPr>
        <w:tc>
          <w:tcPr>
            <w:tcW w:w="190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proofErr w:type="spellStart"/>
            <w:r w:rsidRPr="00CB5D64">
              <w:rPr>
                <w:rFonts w:ascii="Arial" w:hAnsi="Arial"/>
                <w:bCs w:val="0"/>
                <w:color w:val="000000"/>
                <w:sz w:val="16"/>
                <w:szCs w:val="16"/>
              </w:rPr>
              <w:t>Choptank</w:t>
            </w:r>
            <w:proofErr w:type="spellEnd"/>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0.33</w:t>
            </w:r>
          </w:p>
        </w:tc>
        <w:tc>
          <w:tcPr>
            <w:tcW w:w="152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0.645</w:t>
            </w:r>
          </w:p>
        </w:tc>
        <w:tc>
          <w:tcPr>
            <w:tcW w:w="148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0.7</w:t>
            </w:r>
          </w:p>
        </w:tc>
        <w:tc>
          <w:tcPr>
            <w:tcW w:w="1540"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8</w:t>
            </w:r>
          </w:p>
        </w:tc>
      </w:tr>
      <w:tr w:rsidR="00CB5D64" w:rsidRPr="00CB5D64" w:rsidTr="00CB5D64">
        <w:trPr>
          <w:trHeight w:val="315"/>
        </w:trPr>
        <w:tc>
          <w:tcPr>
            <w:tcW w:w="1900" w:type="dxa"/>
            <w:tcBorders>
              <w:top w:val="nil"/>
              <w:left w:val="double" w:sz="6" w:space="0" w:color="auto"/>
              <w:bottom w:val="double" w:sz="6"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Other</w:t>
            </w:r>
          </w:p>
        </w:tc>
        <w:tc>
          <w:tcPr>
            <w:tcW w:w="1480" w:type="dxa"/>
            <w:tcBorders>
              <w:top w:val="nil"/>
              <w:left w:val="nil"/>
              <w:bottom w:val="double" w:sz="6"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0.3</w:t>
            </w:r>
          </w:p>
        </w:tc>
        <w:tc>
          <w:tcPr>
            <w:tcW w:w="1520" w:type="dxa"/>
            <w:tcBorders>
              <w:top w:val="nil"/>
              <w:left w:val="nil"/>
              <w:bottom w:val="double" w:sz="6"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0.65</w:t>
            </w:r>
          </w:p>
        </w:tc>
        <w:tc>
          <w:tcPr>
            <w:tcW w:w="1480" w:type="dxa"/>
            <w:tcBorders>
              <w:top w:val="nil"/>
              <w:left w:val="nil"/>
              <w:bottom w:val="double" w:sz="6"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0.6</w:t>
            </w:r>
          </w:p>
        </w:tc>
        <w:tc>
          <w:tcPr>
            <w:tcW w:w="1540" w:type="dxa"/>
            <w:tcBorders>
              <w:top w:val="nil"/>
              <w:left w:val="nil"/>
              <w:bottom w:val="double" w:sz="6"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8</w:t>
            </w:r>
          </w:p>
        </w:tc>
      </w:tr>
    </w:tbl>
    <w:p w:rsidR="00CB5D64" w:rsidRDefault="00CB5D64" w:rsidP="002E29D8">
      <w:pPr>
        <w:ind w:left="720" w:hanging="720"/>
      </w:pPr>
    </w:p>
    <w:p w:rsidR="00CB5D64" w:rsidRDefault="00CB5D64" w:rsidP="002E29D8">
      <w:pPr>
        <w:ind w:left="720" w:hanging="720"/>
      </w:pPr>
    </w:p>
    <w:p w:rsidR="008C3B6D" w:rsidRDefault="008C3B6D" w:rsidP="002E29D8">
      <w:pPr>
        <w:ind w:left="720" w:hanging="720"/>
      </w:pPr>
    </w:p>
    <w:tbl>
      <w:tblPr>
        <w:tblW w:w="6441" w:type="dxa"/>
        <w:tblInd w:w="85" w:type="dxa"/>
        <w:tblLook w:val="04A0" w:firstRow="1" w:lastRow="0" w:firstColumn="1" w:lastColumn="0" w:noHBand="0" w:noVBand="1"/>
      </w:tblPr>
      <w:tblGrid>
        <w:gridCol w:w="2240"/>
        <w:gridCol w:w="1396"/>
        <w:gridCol w:w="1552"/>
        <w:gridCol w:w="1253"/>
      </w:tblGrid>
      <w:tr w:rsidR="00CB5D64" w:rsidRPr="00CB5D64" w:rsidTr="00CB5D64">
        <w:trPr>
          <w:trHeight w:val="330"/>
        </w:trPr>
        <w:tc>
          <w:tcPr>
            <w:tcW w:w="6441" w:type="dxa"/>
            <w:gridSpan w:val="4"/>
            <w:tcBorders>
              <w:top w:val="double" w:sz="6" w:space="0" w:color="auto"/>
              <w:left w:val="double" w:sz="6" w:space="0" w:color="auto"/>
              <w:bottom w:val="double" w:sz="6" w:space="0" w:color="auto"/>
              <w:right w:val="double" w:sz="6" w:space="0" w:color="000000"/>
            </w:tcBorders>
            <w:shd w:val="clear" w:color="auto" w:fill="auto"/>
            <w:noWrap/>
            <w:vAlign w:val="bottom"/>
            <w:hideMark/>
          </w:tcPr>
          <w:p w:rsidR="00CB5D64" w:rsidRDefault="00CB5D64" w:rsidP="00CB5D64">
            <w:pPr>
              <w:rPr>
                <w:rFonts w:ascii="Arial" w:hAnsi="Arial"/>
                <w:b/>
                <w:color w:val="000000"/>
              </w:rPr>
            </w:pPr>
            <w:r w:rsidRPr="00CB5D64">
              <w:rPr>
                <w:rFonts w:ascii="Arial" w:hAnsi="Arial"/>
                <w:b/>
                <w:color w:val="000000"/>
              </w:rPr>
              <w:t xml:space="preserve">Table </w:t>
            </w:r>
            <w:r w:rsidR="00F23EBB">
              <w:rPr>
                <w:rFonts w:ascii="Arial" w:hAnsi="Arial"/>
                <w:b/>
                <w:color w:val="000000"/>
              </w:rPr>
              <w:t>6-</w:t>
            </w:r>
            <w:r w:rsidRPr="00CB5D64">
              <w:rPr>
                <w:rFonts w:ascii="Arial" w:hAnsi="Arial"/>
                <w:b/>
                <w:color w:val="000000"/>
              </w:rPr>
              <w:t xml:space="preserve">3  </w:t>
            </w:r>
          </w:p>
          <w:p w:rsidR="00CB5D64" w:rsidRPr="00CB5D64" w:rsidRDefault="00CB5D64" w:rsidP="00CB5D64">
            <w:pPr>
              <w:rPr>
                <w:rFonts w:ascii="Arial" w:hAnsi="Arial"/>
                <w:b/>
                <w:color w:val="000000"/>
              </w:rPr>
            </w:pPr>
            <w:r w:rsidRPr="00CB5D64">
              <w:rPr>
                <w:rFonts w:ascii="Arial" w:hAnsi="Arial"/>
                <w:b/>
                <w:color w:val="000000"/>
              </w:rPr>
              <w:t>Calculation of Reactive Fractions of Watershed Particles</w:t>
            </w:r>
          </w:p>
        </w:tc>
      </w:tr>
      <w:tr w:rsidR="00CB5D64" w:rsidRPr="00CB5D64" w:rsidTr="00CB5D64">
        <w:trPr>
          <w:trHeight w:val="330"/>
        </w:trPr>
        <w:tc>
          <w:tcPr>
            <w:tcW w:w="2240" w:type="dxa"/>
            <w:tcBorders>
              <w:top w:val="nil"/>
              <w:left w:val="double" w:sz="6" w:space="0" w:color="auto"/>
              <w:bottom w:val="double" w:sz="6" w:space="0" w:color="auto"/>
              <w:right w:val="single" w:sz="4" w:space="0" w:color="auto"/>
            </w:tcBorders>
            <w:shd w:val="clear" w:color="auto" w:fill="auto"/>
            <w:noWrap/>
            <w:vAlign w:val="bottom"/>
            <w:hideMark/>
          </w:tcPr>
          <w:p w:rsidR="00CB5D64" w:rsidRPr="00CB5D64" w:rsidRDefault="00CB5D64" w:rsidP="00CB5D64">
            <w:pPr>
              <w:rPr>
                <w:rFonts w:ascii="Arial" w:hAnsi="Arial"/>
                <w:b/>
                <w:color w:val="000000"/>
                <w:sz w:val="16"/>
                <w:szCs w:val="16"/>
              </w:rPr>
            </w:pPr>
            <w:r w:rsidRPr="00CB5D64">
              <w:rPr>
                <w:rFonts w:ascii="Arial" w:hAnsi="Arial"/>
                <w:b/>
                <w:color w:val="000000"/>
                <w:sz w:val="16"/>
                <w:szCs w:val="16"/>
              </w:rPr>
              <w:t>Parameter</w:t>
            </w:r>
          </w:p>
        </w:tc>
        <w:tc>
          <w:tcPr>
            <w:tcW w:w="1396" w:type="dxa"/>
            <w:tcBorders>
              <w:top w:val="nil"/>
              <w:left w:val="nil"/>
              <w:bottom w:val="double" w:sz="6" w:space="0" w:color="auto"/>
              <w:right w:val="single" w:sz="4" w:space="0" w:color="auto"/>
            </w:tcBorders>
            <w:shd w:val="clear" w:color="auto" w:fill="auto"/>
            <w:noWrap/>
            <w:vAlign w:val="bottom"/>
            <w:hideMark/>
          </w:tcPr>
          <w:p w:rsidR="00CB5D64" w:rsidRPr="00CB5D64" w:rsidRDefault="00CB5D64" w:rsidP="00CB5D64">
            <w:pPr>
              <w:rPr>
                <w:rFonts w:ascii="Arial" w:hAnsi="Arial"/>
                <w:b/>
                <w:color w:val="000000"/>
                <w:sz w:val="16"/>
                <w:szCs w:val="16"/>
              </w:rPr>
            </w:pPr>
            <w:r w:rsidRPr="00CB5D64">
              <w:rPr>
                <w:rFonts w:ascii="Arial" w:hAnsi="Arial"/>
                <w:b/>
                <w:color w:val="000000"/>
                <w:sz w:val="16"/>
                <w:szCs w:val="16"/>
              </w:rPr>
              <w:t>Nitrogen</w:t>
            </w:r>
          </w:p>
        </w:tc>
        <w:tc>
          <w:tcPr>
            <w:tcW w:w="1552" w:type="dxa"/>
            <w:tcBorders>
              <w:top w:val="nil"/>
              <w:left w:val="nil"/>
              <w:bottom w:val="double" w:sz="6" w:space="0" w:color="auto"/>
              <w:right w:val="single" w:sz="4" w:space="0" w:color="auto"/>
            </w:tcBorders>
            <w:shd w:val="clear" w:color="auto" w:fill="auto"/>
            <w:noWrap/>
            <w:vAlign w:val="bottom"/>
            <w:hideMark/>
          </w:tcPr>
          <w:p w:rsidR="00CB5D64" w:rsidRPr="00CB5D64" w:rsidRDefault="00CB5D64" w:rsidP="00CB5D64">
            <w:pPr>
              <w:rPr>
                <w:rFonts w:ascii="Arial" w:hAnsi="Arial"/>
                <w:b/>
                <w:color w:val="000000"/>
                <w:sz w:val="16"/>
                <w:szCs w:val="16"/>
              </w:rPr>
            </w:pPr>
            <w:r w:rsidRPr="00CB5D64">
              <w:rPr>
                <w:rFonts w:ascii="Arial" w:hAnsi="Arial"/>
                <w:b/>
                <w:color w:val="000000"/>
                <w:sz w:val="16"/>
                <w:szCs w:val="16"/>
              </w:rPr>
              <w:t>Phosphorus</w:t>
            </w:r>
          </w:p>
        </w:tc>
        <w:tc>
          <w:tcPr>
            <w:tcW w:w="1253" w:type="dxa"/>
            <w:tcBorders>
              <w:top w:val="nil"/>
              <w:left w:val="nil"/>
              <w:bottom w:val="double" w:sz="6" w:space="0" w:color="auto"/>
              <w:right w:val="double" w:sz="6" w:space="0" w:color="auto"/>
            </w:tcBorders>
            <w:shd w:val="clear" w:color="auto" w:fill="auto"/>
            <w:noWrap/>
            <w:vAlign w:val="bottom"/>
            <w:hideMark/>
          </w:tcPr>
          <w:p w:rsidR="00CB5D64" w:rsidRPr="00CB5D64" w:rsidRDefault="00CB5D64" w:rsidP="00CB5D64">
            <w:pPr>
              <w:rPr>
                <w:rFonts w:ascii="Arial" w:hAnsi="Arial"/>
                <w:b/>
                <w:color w:val="000000"/>
                <w:sz w:val="16"/>
                <w:szCs w:val="16"/>
              </w:rPr>
            </w:pPr>
            <w:r w:rsidRPr="00CB5D64">
              <w:rPr>
                <w:rFonts w:ascii="Arial" w:hAnsi="Arial"/>
                <w:b/>
                <w:color w:val="000000"/>
                <w:sz w:val="16"/>
                <w:szCs w:val="16"/>
              </w:rPr>
              <w:t>Carbon</w:t>
            </w:r>
          </w:p>
        </w:tc>
      </w:tr>
      <w:tr w:rsidR="00CB5D64" w:rsidRPr="00CB5D64" w:rsidTr="00CB5D64">
        <w:trPr>
          <w:trHeight w:val="315"/>
        </w:trPr>
        <w:tc>
          <w:tcPr>
            <w:tcW w:w="224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Fraction Labile</w:t>
            </w:r>
          </w:p>
        </w:tc>
        <w:tc>
          <w:tcPr>
            <w:tcW w:w="1396"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0.15</w:t>
            </w:r>
          </w:p>
        </w:tc>
        <w:tc>
          <w:tcPr>
            <w:tcW w:w="1552"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0.3</w:t>
            </w:r>
          </w:p>
        </w:tc>
        <w:tc>
          <w:tcPr>
            <w:tcW w:w="1253"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0.15</w:t>
            </w:r>
          </w:p>
        </w:tc>
      </w:tr>
      <w:tr w:rsidR="00CB5D64" w:rsidRPr="00CB5D64" w:rsidTr="00CB5D64">
        <w:trPr>
          <w:trHeight w:val="300"/>
        </w:trPr>
        <w:tc>
          <w:tcPr>
            <w:tcW w:w="224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Fraction Refractory</w:t>
            </w:r>
          </w:p>
        </w:tc>
        <w:tc>
          <w:tcPr>
            <w:tcW w:w="1396"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0.45</w:t>
            </w:r>
          </w:p>
        </w:tc>
        <w:tc>
          <w:tcPr>
            <w:tcW w:w="1552"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0.4</w:t>
            </w:r>
          </w:p>
        </w:tc>
        <w:tc>
          <w:tcPr>
            <w:tcW w:w="1253"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0.35</w:t>
            </w:r>
          </w:p>
        </w:tc>
      </w:tr>
      <w:tr w:rsidR="00CB5D64" w:rsidRPr="00CB5D64" w:rsidTr="00CB5D64">
        <w:trPr>
          <w:trHeight w:val="300"/>
        </w:trPr>
        <w:tc>
          <w:tcPr>
            <w:tcW w:w="224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Calibri" w:hAnsi="Calibri" w:cs="Calibri"/>
                <w:bCs w:val="0"/>
                <w:color w:val="000000"/>
                <w:sz w:val="16"/>
                <w:szCs w:val="16"/>
              </w:rPr>
              <w:t>α</w:t>
            </w:r>
            <w:r w:rsidRPr="00CB5D64">
              <w:rPr>
                <w:rFonts w:ascii="Arial" w:hAnsi="Arial"/>
                <w:bCs w:val="0"/>
                <w:color w:val="000000"/>
                <w:sz w:val="16"/>
                <w:szCs w:val="16"/>
              </w:rPr>
              <w:t>1</w:t>
            </w:r>
          </w:p>
        </w:tc>
        <w:tc>
          <w:tcPr>
            <w:tcW w:w="1396"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7.49 x 10</w:t>
            </w:r>
            <w:r w:rsidRPr="00CB5D64">
              <w:rPr>
                <w:rFonts w:ascii="Arial" w:hAnsi="Arial"/>
                <w:bCs w:val="0"/>
                <w:color w:val="000000"/>
                <w:sz w:val="16"/>
                <w:szCs w:val="16"/>
                <w:vertAlign w:val="superscript"/>
              </w:rPr>
              <w:t>-6</w:t>
            </w:r>
          </w:p>
        </w:tc>
        <w:tc>
          <w:tcPr>
            <w:tcW w:w="1552"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1.091 x 10</w:t>
            </w:r>
            <w:r w:rsidRPr="00CB5D64">
              <w:rPr>
                <w:rFonts w:ascii="Arial" w:hAnsi="Arial"/>
                <w:bCs w:val="0"/>
                <w:color w:val="000000"/>
                <w:sz w:val="16"/>
                <w:szCs w:val="16"/>
                <w:vertAlign w:val="superscript"/>
              </w:rPr>
              <w:t>-5</w:t>
            </w:r>
          </w:p>
        </w:tc>
        <w:tc>
          <w:tcPr>
            <w:tcW w:w="1253"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7.64 x 10</w:t>
            </w:r>
            <w:r w:rsidRPr="00CB5D64">
              <w:rPr>
                <w:rFonts w:ascii="Arial" w:hAnsi="Arial"/>
                <w:bCs w:val="0"/>
                <w:color w:val="000000"/>
                <w:sz w:val="16"/>
                <w:szCs w:val="16"/>
                <w:vertAlign w:val="superscript"/>
              </w:rPr>
              <w:t>-6</w:t>
            </w:r>
          </w:p>
        </w:tc>
      </w:tr>
      <w:tr w:rsidR="00CB5D64" w:rsidRPr="00CB5D64" w:rsidTr="00CB5D64">
        <w:trPr>
          <w:trHeight w:val="315"/>
        </w:trPr>
        <w:tc>
          <w:tcPr>
            <w:tcW w:w="2240" w:type="dxa"/>
            <w:tcBorders>
              <w:top w:val="nil"/>
              <w:left w:val="double" w:sz="6" w:space="0" w:color="auto"/>
              <w:bottom w:val="double" w:sz="6"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Calibri" w:hAnsi="Calibri" w:cs="Calibri"/>
                <w:bCs w:val="0"/>
                <w:color w:val="000000"/>
                <w:sz w:val="16"/>
                <w:szCs w:val="16"/>
              </w:rPr>
              <w:t>α</w:t>
            </w:r>
            <w:r w:rsidRPr="00CB5D64">
              <w:rPr>
                <w:rFonts w:ascii="Arial" w:hAnsi="Arial"/>
                <w:bCs w:val="0"/>
                <w:color w:val="000000"/>
                <w:sz w:val="16"/>
                <w:szCs w:val="16"/>
              </w:rPr>
              <w:t>2</w:t>
            </w:r>
          </w:p>
        </w:tc>
        <w:tc>
          <w:tcPr>
            <w:tcW w:w="1396" w:type="dxa"/>
            <w:tcBorders>
              <w:top w:val="nil"/>
              <w:left w:val="nil"/>
              <w:bottom w:val="double" w:sz="6"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1.638 x 10</w:t>
            </w:r>
            <w:r w:rsidRPr="00CB5D64">
              <w:rPr>
                <w:rFonts w:ascii="Arial" w:hAnsi="Arial"/>
                <w:bCs w:val="0"/>
                <w:color w:val="000000"/>
                <w:sz w:val="16"/>
                <w:szCs w:val="16"/>
                <w:vertAlign w:val="superscript"/>
              </w:rPr>
              <w:t>-5</w:t>
            </w:r>
          </w:p>
        </w:tc>
        <w:tc>
          <w:tcPr>
            <w:tcW w:w="1552" w:type="dxa"/>
            <w:tcBorders>
              <w:top w:val="nil"/>
              <w:left w:val="nil"/>
              <w:bottom w:val="double" w:sz="6"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9.49 x 10</w:t>
            </w:r>
            <w:r w:rsidRPr="00CB5D64">
              <w:rPr>
                <w:rFonts w:ascii="Arial" w:hAnsi="Arial"/>
                <w:bCs w:val="0"/>
                <w:color w:val="000000"/>
                <w:sz w:val="16"/>
                <w:szCs w:val="16"/>
                <w:vertAlign w:val="superscript"/>
              </w:rPr>
              <w:t>-6</w:t>
            </w:r>
          </w:p>
        </w:tc>
        <w:tc>
          <w:tcPr>
            <w:tcW w:w="1253" w:type="dxa"/>
            <w:tcBorders>
              <w:top w:val="nil"/>
              <w:left w:val="nil"/>
              <w:bottom w:val="double" w:sz="6"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1.33 x 10</w:t>
            </w:r>
            <w:r w:rsidRPr="00CB5D64">
              <w:rPr>
                <w:rFonts w:ascii="Arial" w:hAnsi="Arial"/>
                <w:bCs w:val="0"/>
                <w:color w:val="000000"/>
                <w:sz w:val="16"/>
                <w:szCs w:val="16"/>
                <w:vertAlign w:val="superscript"/>
              </w:rPr>
              <w:t>-5</w:t>
            </w:r>
          </w:p>
        </w:tc>
      </w:tr>
    </w:tbl>
    <w:p w:rsidR="00CB5D64" w:rsidRDefault="00CB5D64" w:rsidP="002E29D8">
      <w:pPr>
        <w:ind w:left="720" w:hanging="720"/>
      </w:pPr>
    </w:p>
    <w:p w:rsidR="008C3B6D" w:rsidRDefault="008C3B6D" w:rsidP="002E29D8">
      <w:pPr>
        <w:ind w:left="720" w:hanging="720"/>
      </w:pPr>
    </w:p>
    <w:p w:rsidR="00CB5D64" w:rsidRDefault="00CB5D64" w:rsidP="002E29D8">
      <w:pPr>
        <w:ind w:left="720" w:hanging="720"/>
      </w:pPr>
    </w:p>
    <w:tbl>
      <w:tblPr>
        <w:tblW w:w="7200" w:type="dxa"/>
        <w:tblInd w:w="85" w:type="dxa"/>
        <w:tblLook w:val="04A0" w:firstRow="1" w:lastRow="0" w:firstColumn="1" w:lastColumn="0" w:noHBand="0" w:noVBand="1"/>
      </w:tblPr>
      <w:tblGrid>
        <w:gridCol w:w="1340"/>
        <w:gridCol w:w="1460"/>
        <w:gridCol w:w="1460"/>
        <w:gridCol w:w="1460"/>
        <w:gridCol w:w="1480"/>
      </w:tblGrid>
      <w:tr w:rsidR="00CB5D64" w:rsidRPr="00CB5D64" w:rsidTr="00CB5D64">
        <w:trPr>
          <w:trHeight w:val="330"/>
        </w:trPr>
        <w:tc>
          <w:tcPr>
            <w:tcW w:w="7200" w:type="dxa"/>
            <w:gridSpan w:val="5"/>
            <w:tcBorders>
              <w:top w:val="double" w:sz="6" w:space="0" w:color="auto"/>
              <w:left w:val="double" w:sz="6" w:space="0" w:color="auto"/>
              <w:bottom w:val="nil"/>
              <w:right w:val="double" w:sz="6" w:space="0" w:color="000000"/>
            </w:tcBorders>
            <w:shd w:val="clear" w:color="auto" w:fill="auto"/>
            <w:noWrap/>
            <w:vAlign w:val="bottom"/>
            <w:hideMark/>
          </w:tcPr>
          <w:p w:rsidR="00CB5D64" w:rsidRDefault="00CB5D64" w:rsidP="00CB5D64">
            <w:pPr>
              <w:rPr>
                <w:rFonts w:ascii="Arial" w:hAnsi="Arial"/>
                <w:b/>
                <w:color w:val="000000"/>
              </w:rPr>
            </w:pPr>
            <w:r w:rsidRPr="00CB5D64">
              <w:rPr>
                <w:rFonts w:ascii="Arial" w:hAnsi="Arial"/>
                <w:b/>
                <w:color w:val="000000"/>
              </w:rPr>
              <w:t xml:space="preserve">Table </w:t>
            </w:r>
            <w:r w:rsidR="00F23EBB">
              <w:rPr>
                <w:rFonts w:ascii="Arial" w:hAnsi="Arial"/>
                <w:b/>
                <w:color w:val="000000"/>
              </w:rPr>
              <w:t>6-</w:t>
            </w:r>
            <w:r w:rsidRPr="00CB5D64">
              <w:rPr>
                <w:rFonts w:ascii="Arial" w:hAnsi="Arial"/>
                <w:b/>
                <w:color w:val="000000"/>
              </w:rPr>
              <w:t xml:space="preserve">4  </w:t>
            </w:r>
          </w:p>
          <w:p w:rsidR="00CB5D64" w:rsidRPr="00CB5D64" w:rsidRDefault="00CB5D64" w:rsidP="00CB5D64">
            <w:pPr>
              <w:rPr>
                <w:rFonts w:ascii="Arial" w:hAnsi="Arial"/>
                <w:b/>
                <w:color w:val="000000"/>
              </w:rPr>
            </w:pPr>
            <w:r w:rsidRPr="00CB5D64">
              <w:rPr>
                <w:rFonts w:ascii="Arial" w:hAnsi="Arial"/>
                <w:b/>
                <w:color w:val="000000"/>
              </w:rPr>
              <w:t>Routing Point-Source Loads into WQM Variables</w:t>
            </w:r>
          </w:p>
        </w:tc>
      </w:tr>
      <w:tr w:rsidR="00CB5D64" w:rsidRPr="00CB5D64" w:rsidTr="00CB5D64">
        <w:trPr>
          <w:trHeight w:val="705"/>
        </w:trPr>
        <w:tc>
          <w:tcPr>
            <w:tcW w:w="1340" w:type="dxa"/>
            <w:tcBorders>
              <w:top w:val="double" w:sz="6" w:space="0" w:color="auto"/>
              <w:left w:val="double" w:sz="6" w:space="0" w:color="auto"/>
              <w:bottom w:val="double" w:sz="6" w:space="0" w:color="auto"/>
              <w:right w:val="single" w:sz="4" w:space="0" w:color="auto"/>
            </w:tcBorders>
            <w:shd w:val="clear" w:color="auto" w:fill="auto"/>
            <w:vAlign w:val="center"/>
            <w:hideMark/>
          </w:tcPr>
          <w:p w:rsidR="00CB5D64" w:rsidRPr="00CB5D64" w:rsidRDefault="00CB5D64" w:rsidP="00CB5D64">
            <w:pPr>
              <w:jc w:val="center"/>
              <w:rPr>
                <w:rFonts w:ascii="Arial" w:hAnsi="Arial"/>
                <w:b/>
                <w:color w:val="000000"/>
                <w:sz w:val="16"/>
                <w:szCs w:val="16"/>
              </w:rPr>
            </w:pPr>
            <w:r w:rsidRPr="00CB5D64">
              <w:rPr>
                <w:rFonts w:ascii="Arial" w:hAnsi="Arial"/>
                <w:b/>
                <w:color w:val="000000"/>
                <w:sz w:val="16"/>
                <w:szCs w:val="16"/>
              </w:rPr>
              <w:t> </w:t>
            </w:r>
          </w:p>
        </w:tc>
        <w:tc>
          <w:tcPr>
            <w:tcW w:w="1460" w:type="dxa"/>
            <w:tcBorders>
              <w:top w:val="double" w:sz="6" w:space="0" w:color="auto"/>
              <w:left w:val="nil"/>
              <w:bottom w:val="double" w:sz="6" w:space="0" w:color="auto"/>
              <w:right w:val="single" w:sz="4" w:space="0" w:color="auto"/>
            </w:tcBorders>
            <w:shd w:val="clear" w:color="auto" w:fill="auto"/>
            <w:vAlign w:val="center"/>
            <w:hideMark/>
          </w:tcPr>
          <w:p w:rsidR="00CB5D64" w:rsidRPr="00CB5D64" w:rsidRDefault="00CB5D64" w:rsidP="00CB5D64">
            <w:pPr>
              <w:jc w:val="center"/>
              <w:rPr>
                <w:rFonts w:ascii="Arial" w:hAnsi="Arial"/>
                <w:b/>
                <w:color w:val="000000"/>
                <w:sz w:val="16"/>
                <w:szCs w:val="16"/>
              </w:rPr>
            </w:pPr>
            <w:r w:rsidRPr="00CB5D64">
              <w:rPr>
                <w:rFonts w:ascii="Arial" w:hAnsi="Arial"/>
                <w:b/>
                <w:color w:val="000000"/>
                <w:sz w:val="16"/>
                <w:szCs w:val="16"/>
              </w:rPr>
              <w:t>Fraction Dissolved</w:t>
            </w:r>
          </w:p>
        </w:tc>
        <w:tc>
          <w:tcPr>
            <w:tcW w:w="1460" w:type="dxa"/>
            <w:tcBorders>
              <w:top w:val="double" w:sz="6" w:space="0" w:color="auto"/>
              <w:left w:val="nil"/>
              <w:bottom w:val="double" w:sz="6" w:space="0" w:color="auto"/>
              <w:right w:val="single" w:sz="4" w:space="0" w:color="auto"/>
            </w:tcBorders>
            <w:shd w:val="clear" w:color="auto" w:fill="auto"/>
            <w:vAlign w:val="center"/>
            <w:hideMark/>
          </w:tcPr>
          <w:p w:rsidR="00CB5D64" w:rsidRPr="00CB5D64" w:rsidRDefault="00CB5D64" w:rsidP="00CB5D64">
            <w:pPr>
              <w:jc w:val="center"/>
              <w:rPr>
                <w:rFonts w:ascii="Arial" w:hAnsi="Arial"/>
                <w:b/>
                <w:color w:val="000000"/>
                <w:sz w:val="16"/>
                <w:szCs w:val="16"/>
              </w:rPr>
            </w:pPr>
            <w:r w:rsidRPr="00CB5D64">
              <w:rPr>
                <w:rFonts w:ascii="Arial" w:hAnsi="Arial"/>
                <w:b/>
                <w:color w:val="000000"/>
                <w:sz w:val="16"/>
                <w:szCs w:val="16"/>
              </w:rPr>
              <w:t>Faction Labile Particles</w:t>
            </w:r>
          </w:p>
        </w:tc>
        <w:tc>
          <w:tcPr>
            <w:tcW w:w="1460" w:type="dxa"/>
            <w:tcBorders>
              <w:top w:val="double" w:sz="6" w:space="0" w:color="auto"/>
              <w:left w:val="nil"/>
              <w:bottom w:val="double" w:sz="6" w:space="0" w:color="auto"/>
              <w:right w:val="single" w:sz="4" w:space="0" w:color="auto"/>
            </w:tcBorders>
            <w:shd w:val="clear" w:color="auto" w:fill="auto"/>
            <w:vAlign w:val="center"/>
            <w:hideMark/>
          </w:tcPr>
          <w:p w:rsidR="00CB5D64" w:rsidRPr="00CB5D64" w:rsidRDefault="00CB5D64" w:rsidP="00CB5D64">
            <w:pPr>
              <w:jc w:val="center"/>
              <w:rPr>
                <w:rFonts w:ascii="Arial" w:hAnsi="Arial"/>
                <w:b/>
                <w:color w:val="000000"/>
                <w:sz w:val="16"/>
                <w:szCs w:val="16"/>
              </w:rPr>
            </w:pPr>
            <w:r w:rsidRPr="00CB5D64">
              <w:rPr>
                <w:rFonts w:ascii="Arial" w:hAnsi="Arial"/>
                <w:b/>
                <w:color w:val="000000"/>
                <w:sz w:val="16"/>
                <w:szCs w:val="16"/>
              </w:rPr>
              <w:t>Fraction Refractory Particles</w:t>
            </w:r>
          </w:p>
        </w:tc>
        <w:tc>
          <w:tcPr>
            <w:tcW w:w="1480" w:type="dxa"/>
            <w:tcBorders>
              <w:top w:val="double" w:sz="6" w:space="0" w:color="auto"/>
              <w:left w:val="nil"/>
              <w:bottom w:val="double" w:sz="6" w:space="0" w:color="auto"/>
              <w:right w:val="double" w:sz="6" w:space="0" w:color="auto"/>
            </w:tcBorders>
            <w:shd w:val="clear" w:color="auto" w:fill="auto"/>
            <w:vAlign w:val="center"/>
            <w:hideMark/>
          </w:tcPr>
          <w:p w:rsidR="00CB5D64" w:rsidRPr="00CB5D64" w:rsidRDefault="00CB5D64" w:rsidP="00CB5D64">
            <w:pPr>
              <w:jc w:val="center"/>
              <w:rPr>
                <w:rFonts w:ascii="Arial" w:hAnsi="Arial"/>
                <w:b/>
                <w:color w:val="000000"/>
                <w:sz w:val="16"/>
                <w:szCs w:val="16"/>
              </w:rPr>
            </w:pPr>
            <w:r w:rsidRPr="00CB5D64">
              <w:rPr>
                <w:rFonts w:ascii="Arial" w:hAnsi="Arial"/>
                <w:b/>
                <w:color w:val="000000"/>
                <w:sz w:val="16"/>
                <w:szCs w:val="16"/>
              </w:rPr>
              <w:t>Fraction G3 Particles</w:t>
            </w:r>
          </w:p>
        </w:tc>
      </w:tr>
      <w:tr w:rsidR="00CB5D64" w:rsidRPr="00CB5D64" w:rsidTr="00CB5D64">
        <w:trPr>
          <w:trHeight w:val="315"/>
        </w:trPr>
        <w:tc>
          <w:tcPr>
            <w:tcW w:w="134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Organic N</w:t>
            </w:r>
          </w:p>
        </w:tc>
        <w:tc>
          <w:tcPr>
            <w:tcW w:w="146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0.5</w:t>
            </w:r>
          </w:p>
        </w:tc>
        <w:tc>
          <w:tcPr>
            <w:tcW w:w="146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0.15</w:t>
            </w:r>
          </w:p>
        </w:tc>
        <w:tc>
          <w:tcPr>
            <w:tcW w:w="146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0.28</w:t>
            </w:r>
          </w:p>
        </w:tc>
        <w:tc>
          <w:tcPr>
            <w:tcW w:w="1480"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0.07</w:t>
            </w:r>
          </w:p>
        </w:tc>
      </w:tr>
      <w:tr w:rsidR="00CB5D64" w:rsidRPr="00CB5D64" w:rsidTr="00CB5D64">
        <w:trPr>
          <w:trHeight w:val="300"/>
        </w:trPr>
        <w:tc>
          <w:tcPr>
            <w:tcW w:w="134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Organic P</w:t>
            </w:r>
          </w:p>
        </w:tc>
        <w:tc>
          <w:tcPr>
            <w:tcW w:w="146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0.4</w:t>
            </w:r>
          </w:p>
        </w:tc>
        <w:tc>
          <w:tcPr>
            <w:tcW w:w="146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0.07</w:t>
            </w:r>
          </w:p>
        </w:tc>
        <w:tc>
          <w:tcPr>
            <w:tcW w:w="146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0.42</w:t>
            </w:r>
          </w:p>
        </w:tc>
        <w:tc>
          <w:tcPr>
            <w:tcW w:w="1480"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0.11</w:t>
            </w:r>
          </w:p>
        </w:tc>
      </w:tr>
      <w:tr w:rsidR="00CB5D64" w:rsidRPr="00CB5D64" w:rsidTr="00CB5D64">
        <w:trPr>
          <w:trHeight w:val="300"/>
        </w:trPr>
        <w:tc>
          <w:tcPr>
            <w:tcW w:w="1340" w:type="dxa"/>
            <w:tcBorders>
              <w:top w:val="nil"/>
              <w:left w:val="double" w:sz="6" w:space="0" w:color="auto"/>
              <w:bottom w:val="single" w:sz="4" w:space="0" w:color="auto"/>
              <w:right w:val="single" w:sz="4" w:space="0" w:color="auto"/>
            </w:tcBorders>
            <w:shd w:val="clear" w:color="auto" w:fill="auto"/>
            <w:noWrap/>
            <w:vAlign w:val="bottom"/>
            <w:hideMark/>
          </w:tcPr>
          <w:p w:rsidR="00CB5D64" w:rsidRPr="00CB5D64" w:rsidRDefault="00CB5D64" w:rsidP="00CB5D64">
            <w:pPr>
              <w:rPr>
                <w:rFonts w:ascii="Arial" w:hAnsi="Arial"/>
                <w:bCs w:val="0"/>
                <w:color w:val="000000"/>
                <w:sz w:val="16"/>
                <w:szCs w:val="16"/>
              </w:rPr>
            </w:pPr>
            <w:r w:rsidRPr="00CB5D64">
              <w:rPr>
                <w:rFonts w:ascii="Arial" w:hAnsi="Arial"/>
                <w:bCs w:val="0"/>
                <w:color w:val="000000"/>
                <w:sz w:val="16"/>
                <w:szCs w:val="16"/>
              </w:rPr>
              <w:t>Organic C</w:t>
            </w:r>
          </w:p>
        </w:tc>
        <w:tc>
          <w:tcPr>
            <w:tcW w:w="146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0.8</w:t>
            </w:r>
          </w:p>
        </w:tc>
        <w:tc>
          <w:tcPr>
            <w:tcW w:w="146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0.15</w:t>
            </w:r>
          </w:p>
        </w:tc>
        <w:tc>
          <w:tcPr>
            <w:tcW w:w="1460" w:type="dxa"/>
            <w:tcBorders>
              <w:top w:val="nil"/>
              <w:left w:val="nil"/>
              <w:bottom w:val="single" w:sz="4" w:space="0" w:color="auto"/>
              <w:right w:val="single" w:sz="4"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0.04</w:t>
            </w:r>
          </w:p>
        </w:tc>
        <w:tc>
          <w:tcPr>
            <w:tcW w:w="1480" w:type="dxa"/>
            <w:tcBorders>
              <w:top w:val="nil"/>
              <w:left w:val="nil"/>
              <w:bottom w:val="single" w:sz="4" w:space="0" w:color="auto"/>
              <w:right w:val="double" w:sz="6" w:space="0" w:color="auto"/>
            </w:tcBorders>
            <w:shd w:val="clear" w:color="auto" w:fill="auto"/>
            <w:noWrap/>
            <w:vAlign w:val="bottom"/>
            <w:hideMark/>
          </w:tcPr>
          <w:p w:rsidR="00CB5D64" w:rsidRPr="00CB5D64" w:rsidRDefault="00CB5D64" w:rsidP="00CB5D64">
            <w:pPr>
              <w:jc w:val="center"/>
              <w:rPr>
                <w:rFonts w:ascii="Arial" w:hAnsi="Arial"/>
                <w:bCs w:val="0"/>
                <w:color w:val="000000"/>
                <w:sz w:val="16"/>
                <w:szCs w:val="16"/>
              </w:rPr>
            </w:pPr>
            <w:r w:rsidRPr="00CB5D64">
              <w:rPr>
                <w:rFonts w:ascii="Arial" w:hAnsi="Arial"/>
                <w:bCs w:val="0"/>
                <w:color w:val="000000"/>
                <w:sz w:val="16"/>
                <w:szCs w:val="16"/>
              </w:rPr>
              <w:t>0.01</w:t>
            </w:r>
          </w:p>
        </w:tc>
      </w:tr>
      <w:tr w:rsidR="00CB5D64" w:rsidRPr="00CB5D64" w:rsidTr="00CB5D64">
        <w:trPr>
          <w:trHeight w:val="315"/>
        </w:trPr>
        <w:tc>
          <w:tcPr>
            <w:tcW w:w="7200" w:type="dxa"/>
            <w:gridSpan w:val="5"/>
            <w:tcBorders>
              <w:top w:val="single" w:sz="4" w:space="0" w:color="auto"/>
              <w:left w:val="double" w:sz="6" w:space="0" w:color="auto"/>
              <w:bottom w:val="double" w:sz="6" w:space="0" w:color="auto"/>
              <w:right w:val="double" w:sz="6" w:space="0" w:color="000000"/>
            </w:tcBorders>
            <w:shd w:val="clear" w:color="auto" w:fill="auto"/>
            <w:noWrap/>
            <w:vAlign w:val="bottom"/>
            <w:hideMark/>
          </w:tcPr>
          <w:p w:rsidR="00CB5D64" w:rsidRPr="00CB5D64" w:rsidRDefault="00ED3BD2" w:rsidP="00CB5D64">
            <w:pPr>
              <w:rPr>
                <w:rFonts w:ascii="Arial" w:hAnsi="Arial"/>
                <w:bCs w:val="0"/>
                <w:color w:val="000000"/>
                <w:sz w:val="16"/>
                <w:szCs w:val="16"/>
              </w:rPr>
            </w:pPr>
            <w:r>
              <w:rPr>
                <w:rFonts w:ascii="Arial" w:hAnsi="Arial"/>
                <w:bCs w:val="0"/>
                <w:color w:val="000000"/>
                <w:sz w:val="16"/>
                <w:szCs w:val="16"/>
              </w:rPr>
              <w:t>C:BOD5</w:t>
            </w:r>
            <w:r w:rsidR="00CB5D64" w:rsidRPr="00CB5D64">
              <w:rPr>
                <w:rFonts w:ascii="Arial" w:hAnsi="Arial"/>
                <w:bCs w:val="0"/>
                <w:color w:val="000000"/>
                <w:sz w:val="16"/>
                <w:szCs w:val="16"/>
              </w:rPr>
              <w:t xml:space="preserve"> ratio = 1</w:t>
            </w:r>
            <w:r>
              <w:rPr>
                <w:rFonts w:ascii="Arial" w:hAnsi="Arial"/>
                <w:bCs w:val="0"/>
                <w:color w:val="000000"/>
                <w:sz w:val="16"/>
                <w:szCs w:val="16"/>
              </w:rPr>
              <w:t>.</w:t>
            </w:r>
            <w:r w:rsidR="00CB5D64" w:rsidRPr="00CB5D64">
              <w:rPr>
                <w:rFonts w:ascii="Arial" w:hAnsi="Arial"/>
                <w:bCs w:val="0"/>
                <w:color w:val="000000"/>
                <w:sz w:val="16"/>
                <w:szCs w:val="16"/>
              </w:rPr>
              <w:t>0</w:t>
            </w:r>
          </w:p>
        </w:tc>
      </w:tr>
    </w:tbl>
    <w:p w:rsidR="00CB5D64" w:rsidRDefault="00CB5D64" w:rsidP="002E29D8">
      <w:pPr>
        <w:ind w:left="720" w:hanging="720"/>
      </w:pPr>
    </w:p>
    <w:p w:rsidR="00683D69" w:rsidRDefault="00683D69" w:rsidP="002E29D8">
      <w:pPr>
        <w:ind w:left="720" w:hanging="720"/>
      </w:pPr>
    </w:p>
    <w:p w:rsidR="00683D69" w:rsidRDefault="00683D69" w:rsidP="002E29D8">
      <w:pPr>
        <w:ind w:left="720" w:hanging="720"/>
      </w:pPr>
    </w:p>
    <w:p w:rsidR="00683D69" w:rsidRDefault="00683D69" w:rsidP="002E29D8">
      <w:pPr>
        <w:ind w:left="720" w:hanging="720"/>
      </w:pPr>
    </w:p>
    <w:p w:rsidR="00683D69" w:rsidRDefault="00683D69" w:rsidP="002E29D8">
      <w:pPr>
        <w:ind w:left="720" w:hanging="720"/>
      </w:pPr>
    </w:p>
    <w:p w:rsidR="00683D69" w:rsidRDefault="00683D69" w:rsidP="002E29D8">
      <w:pPr>
        <w:ind w:left="720" w:hanging="720"/>
      </w:pPr>
      <w:r>
        <w:rPr>
          <w:noProof/>
        </w:rPr>
        <w:lastRenderedPageBreak/>
        <w:drawing>
          <wp:inline distT="0" distB="0" distL="0" distR="0">
            <wp:extent cx="4572000" cy="3433445"/>
            <wp:effectExtent l="19050" t="19050" r="19050" b="146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png"/>
                    <pic:cNvPicPr/>
                  </pic:nvPicPr>
                  <pic:blipFill>
                    <a:blip r:embed="rId13">
                      <a:extLst>
                        <a:ext uri="{28A0092B-C50C-407E-A947-70E740481C1C}">
                          <a14:useLocalDpi xmlns:a14="http://schemas.microsoft.com/office/drawing/2010/main" val="0"/>
                        </a:ext>
                      </a:extLst>
                    </a:blip>
                    <a:stretch>
                      <a:fillRect/>
                    </a:stretch>
                  </pic:blipFill>
                  <pic:spPr>
                    <a:xfrm>
                      <a:off x="0" y="0"/>
                      <a:ext cx="4572000" cy="3433445"/>
                    </a:xfrm>
                    <a:prstGeom prst="rect">
                      <a:avLst/>
                    </a:prstGeom>
                    <a:ln>
                      <a:solidFill>
                        <a:schemeClr val="tx1"/>
                      </a:solidFill>
                    </a:ln>
                  </pic:spPr>
                </pic:pic>
              </a:graphicData>
            </a:graphic>
          </wp:inline>
        </w:drawing>
      </w:r>
    </w:p>
    <w:p w:rsidR="00683D69" w:rsidRDefault="00683D69" w:rsidP="002E29D8">
      <w:pPr>
        <w:ind w:left="720" w:hanging="720"/>
      </w:pPr>
    </w:p>
    <w:p w:rsidR="00683D69" w:rsidRDefault="00683D69" w:rsidP="00683D69">
      <w:pPr>
        <w:rPr>
          <w:b/>
          <w:sz w:val="20"/>
          <w:szCs w:val="20"/>
        </w:rPr>
      </w:pPr>
      <w:proofErr w:type="gramStart"/>
      <w:r w:rsidRPr="00683D69">
        <w:rPr>
          <w:b/>
          <w:sz w:val="20"/>
          <w:szCs w:val="20"/>
        </w:rPr>
        <w:t xml:space="preserve">Figure </w:t>
      </w:r>
      <w:r w:rsidR="00F23EBB">
        <w:rPr>
          <w:b/>
          <w:sz w:val="20"/>
          <w:szCs w:val="20"/>
        </w:rPr>
        <w:t>6-</w:t>
      </w:r>
      <w:r w:rsidRPr="00683D69">
        <w:rPr>
          <w:b/>
          <w:sz w:val="20"/>
          <w:szCs w:val="20"/>
        </w:rPr>
        <w:t>1.</w:t>
      </w:r>
      <w:proofErr w:type="gramEnd"/>
      <w:r w:rsidRPr="00683D69">
        <w:rPr>
          <w:b/>
          <w:sz w:val="20"/>
          <w:szCs w:val="20"/>
        </w:rPr>
        <w:t xml:space="preserve">  </w:t>
      </w:r>
      <w:proofErr w:type="gramStart"/>
      <w:r w:rsidRPr="00683D69">
        <w:rPr>
          <w:b/>
          <w:sz w:val="20"/>
          <w:szCs w:val="20"/>
        </w:rPr>
        <w:t>Routing watershed model organic nitrogen into water quality model state variables.</w:t>
      </w:r>
      <w:proofErr w:type="gramEnd"/>
    </w:p>
    <w:p w:rsidR="00683D69" w:rsidRDefault="00683D69" w:rsidP="00683D69">
      <w:pPr>
        <w:rPr>
          <w:b/>
          <w:sz w:val="20"/>
          <w:szCs w:val="20"/>
        </w:rPr>
      </w:pPr>
    </w:p>
    <w:p w:rsidR="00683D69" w:rsidRDefault="00BE26E0" w:rsidP="00683D69">
      <w:pPr>
        <w:rPr>
          <w:b/>
          <w:sz w:val="20"/>
          <w:szCs w:val="20"/>
        </w:rPr>
      </w:pPr>
      <w:r>
        <w:rPr>
          <w:b/>
          <w:noProof/>
          <w:sz w:val="20"/>
          <w:szCs w:val="20"/>
        </w:rPr>
        <w:drawing>
          <wp:inline distT="0" distB="0" distL="0" distR="0">
            <wp:extent cx="4572000" cy="3273425"/>
            <wp:effectExtent l="19050" t="19050" r="19050" b="222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72000" cy="3273425"/>
                    </a:xfrm>
                    <a:prstGeom prst="rect">
                      <a:avLst/>
                    </a:prstGeom>
                    <a:ln>
                      <a:solidFill>
                        <a:schemeClr val="tx1"/>
                      </a:solidFill>
                    </a:ln>
                  </pic:spPr>
                </pic:pic>
              </a:graphicData>
            </a:graphic>
          </wp:inline>
        </w:drawing>
      </w:r>
    </w:p>
    <w:p w:rsidR="00D016F5" w:rsidRDefault="00D016F5" w:rsidP="00683D69">
      <w:pPr>
        <w:rPr>
          <w:b/>
          <w:sz w:val="20"/>
          <w:szCs w:val="20"/>
        </w:rPr>
      </w:pPr>
    </w:p>
    <w:p w:rsidR="00D016F5" w:rsidRDefault="00F74D54" w:rsidP="00683D69">
      <w:pPr>
        <w:rPr>
          <w:b/>
          <w:sz w:val="20"/>
          <w:szCs w:val="20"/>
        </w:rPr>
      </w:pPr>
      <w:proofErr w:type="gramStart"/>
      <w:r>
        <w:rPr>
          <w:b/>
          <w:sz w:val="20"/>
          <w:szCs w:val="20"/>
        </w:rPr>
        <w:t xml:space="preserve">Figure </w:t>
      </w:r>
      <w:r w:rsidR="00F23EBB">
        <w:rPr>
          <w:b/>
          <w:sz w:val="20"/>
          <w:szCs w:val="20"/>
        </w:rPr>
        <w:t>6-</w:t>
      </w:r>
      <w:r>
        <w:rPr>
          <w:b/>
          <w:sz w:val="20"/>
          <w:szCs w:val="20"/>
        </w:rPr>
        <w:t>2.</w:t>
      </w:r>
      <w:proofErr w:type="gramEnd"/>
      <w:r>
        <w:rPr>
          <w:b/>
          <w:sz w:val="20"/>
          <w:szCs w:val="20"/>
        </w:rPr>
        <w:t xml:space="preserve">  </w:t>
      </w:r>
      <w:proofErr w:type="gramStart"/>
      <w:r>
        <w:rPr>
          <w:b/>
          <w:sz w:val="20"/>
          <w:szCs w:val="20"/>
        </w:rPr>
        <w:t>D</w:t>
      </w:r>
      <w:r w:rsidR="00D016F5">
        <w:rPr>
          <w:b/>
          <w:sz w:val="20"/>
          <w:szCs w:val="20"/>
        </w:rPr>
        <w:t xml:space="preserve">issolved organic nitrogen </w:t>
      </w:r>
      <w:r>
        <w:rPr>
          <w:b/>
          <w:sz w:val="20"/>
          <w:szCs w:val="20"/>
        </w:rPr>
        <w:t xml:space="preserve">concentration </w:t>
      </w:r>
      <w:r w:rsidR="00D016F5">
        <w:rPr>
          <w:b/>
          <w:sz w:val="20"/>
          <w:szCs w:val="20"/>
        </w:rPr>
        <w:t>at Station CB1.1, below Susquehanna River inflow.</w:t>
      </w:r>
      <w:proofErr w:type="gramEnd"/>
      <w:r w:rsidR="00D016F5">
        <w:rPr>
          <w:b/>
          <w:sz w:val="20"/>
          <w:szCs w:val="20"/>
        </w:rPr>
        <w:t xml:space="preserve">  Note absence of relationship to flow.</w:t>
      </w:r>
    </w:p>
    <w:p w:rsidR="00D016F5" w:rsidRDefault="00D016F5" w:rsidP="00683D69">
      <w:pPr>
        <w:rPr>
          <w:b/>
          <w:sz w:val="20"/>
          <w:szCs w:val="20"/>
        </w:rPr>
      </w:pPr>
    </w:p>
    <w:p w:rsidR="00D016F5" w:rsidRDefault="00D016F5" w:rsidP="00683D69">
      <w:pPr>
        <w:rPr>
          <w:b/>
          <w:sz w:val="20"/>
          <w:szCs w:val="20"/>
        </w:rPr>
      </w:pPr>
    </w:p>
    <w:p w:rsidR="00D016F5" w:rsidRDefault="00D016F5" w:rsidP="00683D69">
      <w:pPr>
        <w:rPr>
          <w:b/>
          <w:sz w:val="20"/>
          <w:szCs w:val="20"/>
        </w:rPr>
      </w:pPr>
    </w:p>
    <w:p w:rsidR="00D016F5" w:rsidRDefault="00F74D54" w:rsidP="00683D69">
      <w:pPr>
        <w:rPr>
          <w:b/>
          <w:sz w:val="20"/>
          <w:szCs w:val="20"/>
        </w:rPr>
      </w:pPr>
      <w:r>
        <w:rPr>
          <w:b/>
          <w:noProof/>
          <w:sz w:val="20"/>
          <w:szCs w:val="20"/>
        </w:rPr>
        <w:drawing>
          <wp:inline distT="0" distB="0" distL="0" distR="0">
            <wp:extent cx="4572000" cy="3308985"/>
            <wp:effectExtent l="19050" t="19050" r="19050" b="247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3.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72000" cy="3308985"/>
                    </a:xfrm>
                    <a:prstGeom prst="rect">
                      <a:avLst/>
                    </a:prstGeom>
                    <a:ln>
                      <a:solidFill>
                        <a:schemeClr val="tx1"/>
                      </a:solidFill>
                    </a:ln>
                  </pic:spPr>
                </pic:pic>
              </a:graphicData>
            </a:graphic>
          </wp:inline>
        </w:drawing>
      </w:r>
    </w:p>
    <w:p w:rsidR="00D016F5" w:rsidRDefault="00D016F5" w:rsidP="00683D69">
      <w:pPr>
        <w:rPr>
          <w:b/>
          <w:sz w:val="20"/>
          <w:szCs w:val="20"/>
        </w:rPr>
      </w:pPr>
    </w:p>
    <w:p w:rsidR="00D016F5" w:rsidRDefault="00D016F5" w:rsidP="00683D69">
      <w:pPr>
        <w:rPr>
          <w:b/>
          <w:sz w:val="20"/>
          <w:szCs w:val="20"/>
        </w:rPr>
      </w:pPr>
      <w:proofErr w:type="gramStart"/>
      <w:r>
        <w:rPr>
          <w:b/>
          <w:sz w:val="20"/>
          <w:szCs w:val="20"/>
        </w:rPr>
        <w:t>Fig</w:t>
      </w:r>
      <w:r w:rsidR="00F23EBB">
        <w:rPr>
          <w:b/>
          <w:sz w:val="20"/>
          <w:szCs w:val="20"/>
        </w:rPr>
        <w:t>ure 6-3</w:t>
      </w:r>
      <w:r w:rsidR="00F74D54">
        <w:rPr>
          <w:b/>
          <w:sz w:val="20"/>
          <w:szCs w:val="20"/>
        </w:rPr>
        <w:t>.</w:t>
      </w:r>
      <w:proofErr w:type="gramEnd"/>
      <w:r w:rsidR="00F74D54">
        <w:rPr>
          <w:b/>
          <w:sz w:val="20"/>
          <w:szCs w:val="20"/>
        </w:rPr>
        <w:t xml:space="preserve">  </w:t>
      </w:r>
      <w:proofErr w:type="gramStart"/>
      <w:r w:rsidR="00F74D54">
        <w:rPr>
          <w:b/>
          <w:sz w:val="20"/>
          <w:szCs w:val="20"/>
        </w:rPr>
        <w:t>D</w:t>
      </w:r>
      <w:r>
        <w:rPr>
          <w:b/>
          <w:sz w:val="20"/>
          <w:szCs w:val="20"/>
        </w:rPr>
        <w:t xml:space="preserve">issolved organic nitrogen </w:t>
      </w:r>
      <w:r w:rsidR="00F74D54">
        <w:rPr>
          <w:b/>
          <w:sz w:val="20"/>
          <w:szCs w:val="20"/>
        </w:rPr>
        <w:t xml:space="preserve">concentration </w:t>
      </w:r>
      <w:r>
        <w:rPr>
          <w:b/>
          <w:sz w:val="20"/>
          <w:szCs w:val="20"/>
        </w:rPr>
        <w:t>at Station TF2.1, below Potomac River inflow.</w:t>
      </w:r>
      <w:proofErr w:type="gramEnd"/>
      <w:r>
        <w:rPr>
          <w:b/>
          <w:sz w:val="20"/>
          <w:szCs w:val="20"/>
        </w:rPr>
        <w:t xml:space="preserve">  Note absence of relationship to flow.</w:t>
      </w:r>
    </w:p>
    <w:p w:rsidR="00531BF0" w:rsidRDefault="00531BF0" w:rsidP="00683D69">
      <w:pPr>
        <w:rPr>
          <w:b/>
          <w:sz w:val="20"/>
          <w:szCs w:val="20"/>
        </w:rPr>
      </w:pPr>
    </w:p>
    <w:p w:rsidR="00531BF0" w:rsidRDefault="00531BF0" w:rsidP="00683D69">
      <w:pPr>
        <w:rPr>
          <w:b/>
          <w:sz w:val="20"/>
          <w:szCs w:val="20"/>
        </w:rPr>
      </w:pPr>
      <w:r>
        <w:rPr>
          <w:b/>
          <w:noProof/>
          <w:sz w:val="20"/>
          <w:szCs w:val="20"/>
        </w:rPr>
        <w:drawing>
          <wp:inline distT="0" distB="0" distL="0" distR="0">
            <wp:extent cx="4572000" cy="3429000"/>
            <wp:effectExtent l="19050" t="19050" r="19050"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PNG"/>
                    <pic:cNvPicPr/>
                  </pic:nvPicPr>
                  <pic:blipFill>
                    <a:blip r:embed="rId16">
                      <a:extLst>
                        <a:ext uri="{28A0092B-C50C-407E-A947-70E740481C1C}">
                          <a14:useLocalDpi xmlns:a14="http://schemas.microsoft.com/office/drawing/2010/main" val="0"/>
                        </a:ext>
                      </a:extLst>
                    </a:blip>
                    <a:stretch>
                      <a:fillRect/>
                    </a:stretch>
                  </pic:blipFill>
                  <pic:spPr>
                    <a:xfrm>
                      <a:off x="0" y="0"/>
                      <a:ext cx="4572000" cy="3429000"/>
                    </a:xfrm>
                    <a:prstGeom prst="rect">
                      <a:avLst/>
                    </a:prstGeom>
                    <a:ln>
                      <a:solidFill>
                        <a:schemeClr val="tx1"/>
                      </a:solidFill>
                    </a:ln>
                  </pic:spPr>
                </pic:pic>
              </a:graphicData>
            </a:graphic>
          </wp:inline>
        </w:drawing>
      </w:r>
    </w:p>
    <w:p w:rsidR="00531BF0" w:rsidRDefault="00531BF0" w:rsidP="00683D69">
      <w:pPr>
        <w:rPr>
          <w:b/>
          <w:sz w:val="20"/>
          <w:szCs w:val="20"/>
        </w:rPr>
      </w:pPr>
    </w:p>
    <w:p w:rsidR="00531BF0" w:rsidRDefault="00531BF0" w:rsidP="00683D69">
      <w:pPr>
        <w:rPr>
          <w:b/>
          <w:sz w:val="20"/>
          <w:szCs w:val="20"/>
        </w:rPr>
      </w:pPr>
      <w:proofErr w:type="gramStart"/>
      <w:r>
        <w:rPr>
          <w:b/>
          <w:sz w:val="20"/>
          <w:szCs w:val="20"/>
        </w:rPr>
        <w:t xml:space="preserve">Figure </w:t>
      </w:r>
      <w:r w:rsidR="00F23EBB">
        <w:rPr>
          <w:b/>
          <w:sz w:val="20"/>
          <w:szCs w:val="20"/>
        </w:rPr>
        <w:t>6-</w:t>
      </w:r>
      <w:r>
        <w:rPr>
          <w:b/>
          <w:sz w:val="20"/>
          <w:szCs w:val="20"/>
        </w:rPr>
        <w:t>4.</w:t>
      </w:r>
      <w:proofErr w:type="gramEnd"/>
      <w:r>
        <w:rPr>
          <w:b/>
          <w:sz w:val="20"/>
          <w:szCs w:val="20"/>
        </w:rPr>
        <w:t xml:space="preserve">  </w:t>
      </w:r>
      <w:proofErr w:type="gramStart"/>
      <w:r>
        <w:rPr>
          <w:b/>
          <w:sz w:val="20"/>
          <w:szCs w:val="20"/>
        </w:rPr>
        <w:t>Routing watershed model organic and particulate inorganic phosphorus into water quality model state variables.</w:t>
      </w:r>
      <w:proofErr w:type="gramEnd"/>
    </w:p>
    <w:p w:rsidR="00531BF0" w:rsidRDefault="00531BF0" w:rsidP="00683D69">
      <w:pPr>
        <w:rPr>
          <w:b/>
          <w:sz w:val="20"/>
          <w:szCs w:val="20"/>
        </w:rPr>
      </w:pPr>
    </w:p>
    <w:p w:rsidR="00531BF0" w:rsidRDefault="00531BF0" w:rsidP="00683D69">
      <w:pPr>
        <w:rPr>
          <w:b/>
          <w:sz w:val="20"/>
          <w:szCs w:val="20"/>
        </w:rPr>
      </w:pPr>
    </w:p>
    <w:p w:rsidR="00F74D54" w:rsidRDefault="00F74D54" w:rsidP="00683D69">
      <w:pPr>
        <w:rPr>
          <w:b/>
          <w:sz w:val="20"/>
          <w:szCs w:val="20"/>
        </w:rPr>
      </w:pPr>
      <w:r>
        <w:rPr>
          <w:b/>
          <w:noProof/>
          <w:sz w:val="20"/>
          <w:szCs w:val="20"/>
        </w:rPr>
        <w:drawing>
          <wp:inline distT="0" distB="0" distL="0" distR="0">
            <wp:extent cx="4572000" cy="2707640"/>
            <wp:effectExtent l="19050" t="19050" r="19050" b="165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_5-6_Page_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572000" cy="2707640"/>
                    </a:xfrm>
                    <a:prstGeom prst="rect">
                      <a:avLst/>
                    </a:prstGeom>
                    <a:ln>
                      <a:solidFill>
                        <a:schemeClr val="tx1"/>
                      </a:solidFill>
                    </a:ln>
                  </pic:spPr>
                </pic:pic>
              </a:graphicData>
            </a:graphic>
          </wp:inline>
        </w:drawing>
      </w:r>
    </w:p>
    <w:p w:rsidR="00CD7EA3" w:rsidRDefault="00CD7EA3" w:rsidP="00683D69">
      <w:pPr>
        <w:rPr>
          <w:b/>
          <w:sz w:val="20"/>
          <w:szCs w:val="20"/>
        </w:rPr>
      </w:pPr>
    </w:p>
    <w:p w:rsidR="00CD7EA3" w:rsidRDefault="00CD7EA3" w:rsidP="00683D69">
      <w:pPr>
        <w:rPr>
          <w:b/>
          <w:sz w:val="20"/>
          <w:szCs w:val="20"/>
        </w:rPr>
      </w:pPr>
      <w:proofErr w:type="gramStart"/>
      <w:r>
        <w:rPr>
          <w:b/>
          <w:sz w:val="20"/>
          <w:szCs w:val="20"/>
        </w:rPr>
        <w:t xml:space="preserve">Figure </w:t>
      </w:r>
      <w:r w:rsidR="00F23EBB">
        <w:rPr>
          <w:b/>
          <w:sz w:val="20"/>
          <w:szCs w:val="20"/>
        </w:rPr>
        <w:t>6-</w:t>
      </w:r>
      <w:r>
        <w:rPr>
          <w:b/>
          <w:sz w:val="20"/>
          <w:szCs w:val="20"/>
        </w:rPr>
        <w:t>5.</w:t>
      </w:r>
      <w:proofErr w:type="gramEnd"/>
      <w:r>
        <w:rPr>
          <w:b/>
          <w:sz w:val="20"/>
          <w:szCs w:val="20"/>
        </w:rPr>
        <w:t xml:space="preserve">  </w:t>
      </w:r>
      <w:proofErr w:type="gramStart"/>
      <w:r>
        <w:rPr>
          <w:b/>
          <w:sz w:val="20"/>
          <w:szCs w:val="20"/>
        </w:rPr>
        <w:t>Particulate inorganic phosphorus vs. particulate phosphorus at Susquehanna River fall line.</w:t>
      </w:r>
      <w:proofErr w:type="gramEnd"/>
      <w:r>
        <w:rPr>
          <w:b/>
          <w:sz w:val="20"/>
          <w:szCs w:val="20"/>
        </w:rPr>
        <w:t xml:space="preserve">  PIP is a consistent fraction of PP.   </w:t>
      </w:r>
    </w:p>
    <w:p w:rsidR="00CD7EA3" w:rsidRDefault="00CD7EA3" w:rsidP="00683D69">
      <w:pPr>
        <w:rPr>
          <w:b/>
          <w:sz w:val="20"/>
          <w:szCs w:val="20"/>
        </w:rPr>
      </w:pPr>
    </w:p>
    <w:p w:rsidR="00CD7EA3" w:rsidRDefault="00CD7EA3" w:rsidP="00683D69">
      <w:pPr>
        <w:rPr>
          <w:b/>
          <w:sz w:val="20"/>
          <w:szCs w:val="20"/>
        </w:rPr>
      </w:pPr>
      <w:r>
        <w:rPr>
          <w:b/>
          <w:noProof/>
          <w:sz w:val="20"/>
          <w:szCs w:val="20"/>
        </w:rPr>
        <w:drawing>
          <wp:inline distT="0" distB="0" distL="0" distR="0">
            <wp:extent cx="4572000" cy="2671445"/>
            <wp:effectExtent l="19050" t="19050" r="19050" b="146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_5-6_Page_1.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72000" cy="2671445"/>
                    </a:xfrm>
                    <a:prstGeom prst="rect">
                      <a:avLst/>
                    </a:prstGeom>
                    <a:ln>
                      <a:solidFill>
                        <a:schemeClr val="tx1"/>
                      </a:solidFill>
                    </a:ln>
                  </pic:spPr>
                </pic:pic>
              </a:graphicData>
            </a:graphic>
          </wp:inline>
        </w:drawing>
      </w:r>
    </w:p>
    <w:p w:rsidR="00CD7EA3" w:rsidRDefault="00CD7EA3" w:rsidP="00683D69">
      <w:pPr>
        <w:rPr>
          <w:b/>
          <w:sz w:val="20"/>
          <w:szCs w:val="20"/>
        </w:rPr>
      </w:pPr>
    </w:p>
    <w:p w:rsidR="00CD7EA3" w:rsidRDefault="00CD7EA3" w:rsidP="00CD7EA3">
      <w:pPr>
        <w:rPr>
          <w:b/>
          <w:sz w:val="20"/>
          <w:szCs w:val="20"/>
        </w:rPr>
      </w:pPr>
      <w:proofErr w:type="gramStart"/>
      <w:r>
        <w:rPr>
          <w:b/>
          <w:sz w:val="20"/>
          <w:szCs w:val="20"/>
        </w:rPr>
        <w:t xml:space="preserve">Figure </w:t>
      </w:r>
      <w:r w:rsidR="00F23EBB">
        <w:rPr>
          <w:b/>
          <w:sz w:val="20"/>
          <w:szCs w:val="20"/>
        </w:rPr>
        <w:t>6-</w:t>
      </w:r>
      <w:r>
        <w:rPr>
          <w:b/>
          <w:sz w:val="20"/>
          <w:szCs w:val="20"/>
        </w:rPr>
        <w:t>6.</w:t>
      </w:r>
      <w:proofErr w:type="gramEnd"/>
      <w:r>
        <w:rPr>
          <w:b/>
          <w:sz w:val="20"/>
          <w:szCs w:val="20"/>
        </w:rPr>
        <w:t xml:space="preserve">  </w:t>
      </w:r>
      <w:proofErr w:type="gramStart"/>
      <w:r>
        <w:rPr>
          <w:b/>
          <w:sz w:val="20"/>
          <w:szCs w:val="20"/>
        </w:rPr>
        <w:t>Particulate inorganic phosphorus vs. particulate phosphorus at Potomac River fall line.</w:t>
      </w:r>
      <w:proofErr w:type="gramEnd"/>
      <w:r>
        <w:rPr>
          <w:b/>
          <w:sz w:val="20"/>
          <w:szCs w:val="20"/>
        </w:rPr>
        <w:t xml:space="preserve">  PIP is a consistent fraction of PP.   </w:t>
      </w:r>
    </w:p>
    <w:p w:rsidR="00CD7EA3" w:rsidRDefault="00CD7EA3" w:rsidP="00683D69">
      <w:pPr>
        <w:rPr>
          <w:b/>
          <w:sz w:val="20"/>
          <w:szCs w:val="20"/>
        </w:rPr>
      </w:pPr>
    </w:p>
    <w:sectPr w:rsidR="00CD7EA3" w:rsidSect="00574CB3">
      <w:pgSz w:w="12240" w:h="15840"/>
      <w:pgMar w:top="1440" w:right="288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529" w:rsidRDefault="00420529">
      <w:r>
        <w:separator/>
      </w:r>
    </w:p>
  </w:endnote>
  <w:endnote w:type="continuationSeparator" w:id="0">
    <w:p w:rsidR="00420529" w:rsidRDefault="00420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E24" w:rsidRDefault="00CC5E24" w:rsidP="00EE6E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5E24" w:rsidRDefault="00CC5E24" w:rsidP="001C759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E24" w:rsidRPr="001C7590" w:rsidRDefault="00CC5E24" w:rsidP="00EE6EAC">
    <w:pPr>
      <w:pStyle w:val="Footer"/>
      <w:framePr w:wrap="around" w:vAnchor="text" w:hAnchor="margin" w:xAlign="right" w:y="1"/>
      <w:rPr>
        <w:rStyle w:val="PageNumber"/>
        <w:rFonts w:ascii="Arial" w:hAnsi="Arial"/>
      </w:rPr>
    </w:pPr>
    <w:r w:rsidRPr="001C7590">
      <w:rPr>
        <w:rStyle w:val="PageNumber"/>
        <w:rFonts w:ascii="Arial" w:hAnsi="Arial"/>
      </w:rPr>
      <w:fldChar w:fldCharType="begin"/>
    </w:r>
    <w:r w:rsidRPr="001C7590">
      <w:rPr>
        <w:rStyle w:val="PageNumber"/>
        <w:rFonts w:ascii="Arial" w:hAnsi="Arial"/>
      </w:rPr>
      <w:instrText xml:space="preserve">PAGE  </w:instrText>
    </w:r>
    <w:r w:rsidRPr="001C7590">
      <w:rPr>
        <w:rStyle w:val="PageNumber"/>
        <w:rFonts w:ascii="Arial" w:hAnsi="Arial"/>
      </w:rPr>
      <w:fldChar w:fldCharType="separate"/>
    </w:r>
    <w:r w:rsidR="00171EB7">
      <w:rPr>
        <w:rStyle w:val="PageNumber"/>
        <w:rFonts w:ascii="Arial" w:hAnsi="Arial"/>
        <w:noProof/>
      </w:rPr>
      <w:t>9</w:t>
    </w:r>
    <w:r w:rsidRPr="001C7590">
      <w:rPr>
        <w:rStyle w:val="PageNumber"/>
        <w:rFonts w:ascii="Arial" w:hAnsi="Arial"/>
      </w:rPr>
      <w:fldChar w:fldCharType="end"/>
    </w:r>
  </w:p>
  <w:p w:rsidR="00CC5E24" w:rsidRPr="001C7590" w:rsidRDefault="00E22656" w:rsidP="001C7590">
    <w:pPr>
      <w:pStyle w:val="Footer"/>
      <w:ind w:right="360"/>
      <w:rPr>
        <w:rFonts w:ascii="Arial" w:hAnsi="Arial"/>
        <w:sz w:val="16"/>
      </w:rPr>
    </w:pPr>
    <w:r>
      <w:rPr>
        <w:rFonts w:ascii="Arial" w:hAnsi="Arial"/>
        <w:sz w:val="16"/>
      </w:rPr>
      <w:t xml:space="preserve">Chapter </w:t>
    </w:r>
    <w:proofErr w:type="gramStart"/>
    <w:r>
      <w:rPr>
        <w:rFonts w:ascii="Arial" w:hAnsi="Arial"/>
        <w:sz w:val="16"/>
      </w:rPr>
      <w:t>6  Linking</w:t>
    </w:r>
    <w:proofErr w:type="gramEnd"/>
    <w:r>
      <w:rPr>
        <w:rFonts w:ascii="Arial" w:hAnsi="Arial"/>
        <w:sz w:val="16"/>
      </w:rPr>
      <w:t xml:space="preserve"> the Loads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529" w:rsidRDefault="00420529">
      <w:r>
        <w:separator/>
      </w:r>
    </w:p>
  </w:footnote>
  <w:footnote w:type="continuationSeparator" w:id="0">
    <w:p w:rsidR="00420529" w:rsidRDefault="004205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221AB"/>
    <w:multiLevelType w:val="hybridMultilevel"/>
    <w:tmpl w:val="88D4A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22B67"/>
    <w:multiLevelType w:val="hybridMultilevel"/>
    <w:tmpl w:val="9150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592D78"/>
    <w:multiLevelType w:val="hybridMultilevel"/>
    <w:tmpl w:val="070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EB1AB6"/>
    <w:multiLevelType w:val="hybridMultilevel"/>
    <w:tmpl w:val="C160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225DCF"/>
    <w:multiLevelType w:val="hybridMultilevel"/>
    <w:tmpl w:val="699AAF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ABE69B8"/>
    <w:multiLevelType w:val="hybridMultilevel"/>
    <w:tmpl w:val="0074D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590"/>
    <w:rsid w:val="00001EA0"/>
    <w:rsid w:val="00020B44"/>
    <w:rsid w:val="00045733"/>
    <w:rsid w:val="00046812"/>
    <w:rsid w:val="000567EA"/>
    <w:rsid w:val="000602F0"/>
    <w:rsid w:val="00064D8D"/>
    <w:rsid w:val="00065F59"/>
    <w:rsid w:val="00066BEE"/>
    <w:rsid w:val="00076794"/>
    <w:rsid w:val="000850C7"/>
    <w:rsid w:val="00090716"/>
    <w:rsid w:val="00090D2A"/>
    <w:rsid w:val="00097A81"/>
    <w:rsid w:val="000B078C"/>
    <w:rsid w:val="000E17BE"/>
    <w:rsid w:val="00136782"/>
    <w:rsid w:val="00154754"/>
    <w:rsid w:val="00171EB7"/>
    <w:rsid w:val="00176CF7"/>
    <w:rsid w:val="001902B9"/>
    <w:rsid w:val="0019234C"/>
    <w:rsid w:val="001A5D8F"/>
    <w:rsid w:val="001C7590"/>
    <w:rsid w:val="001D6051"/>
    <w:rsid w:val="001F5427"/>
    <w:rsid w:val="00202D0E"/>
    <w:rsid w:val="0021062A"/>
    <w:rsid w:val="0023354A"/>
    <w:rsid w:val="0026455B"/>
    <w:rsid w:val="00283DEE"/>
    <w:rsid w:val="00293670"/>
    <w:rsid w:val="002957F8"/>
    <w:rsid w:val="002A6BEF"/>
    <w:rsid w:val="002B3ECD"/>
    <w:rsid w:val="002D2C8E"/>
    <w:rsid w:val="002E29D8"/>
    <w:rsid w:val="00333D1D"/>
    <w:rsid w:val="00361AA9"/>
    <w:rsid w:val="003C5F68"/>
    <w:rsid w:val="003F7156"/>
    <w:rsid w:val="00407CB6"/>
    <w:rsid w:val="00420529"/>
    <w:rsid w:val="004255E2"/>
    <w:rsid w:val="0043183F"/>
    <w:rsid w:val="00444385"/>
    <w:rsid w:val="00464BE4"/>
    <w:rsid w:val="00466018"/>
    <w:rsid w:val="00474F78"/>
    <w:rsid w:val="0048000B"/>
    <w:rsid w:val="004A6FEA"/>
    <w:rsid w:val="004B717A"/>
    <w:rsid w:val="004B72FE"/>
    <w:rsid w:val="004C6A9F"/>
    <w:rsid w:val="0050402B"/>
    <w:rsid w:val="00520A09"/>
    <w:rsid w:val="00531BF0"/>
    <w:rsid w:val="0054448C"/>
    <w:rsid w:val="0056198B"/>
    <w:rsid w:val="00565384"/>
    <w:rsid w:val="00574CB3"/>
    <w:rsid w:val="00596F8C"/>
    <w:rsid w:val="0060189D"/>
    <w:rsid w:val="00602C6B"/>
    <w:rsid w:val="006146A9"/>
    <w:rsid w:val="00662D33"/>
    <w:rsid w:val="00683D69"/>
    <w:rsid w:val="006964A3"/>
    <w:rsid w:val="00696A05"/>
    <w:rsid w:val="006D7195"/>
    <w:rsid w:val="006E59BE"/>
    <w:rsid w:val="007116BD"/>
    <w:rsid w:val="007454D5"/>
    <w:rsid w:val="00797C11"/>
    <w:rsid w:val="007E455B"/>
    <w:rsid w:val="00815D30"/>
    <w:rsid w:val="00884CCB"/>
    <w:rsid w:val="008876F5"/>
    <w:rsid w:val="008B2F5D"/>
    <w:rsid w:val="008B337C"/>
    <w:rsid w:val="008B778B"/>
    <w:rsid w:val="008C3B6D"/>
    <w:rsid w:val="008D24FC"/>
    <w:rsid w:val="009022FD"/>
    <w:rsid w:val="00925E16"/>
    <w:rsid w:val="009426CF"/>
    <w:rsid w:val="00947460"/>
    <w:rsid w:val="00951D56"/>
    <w:rsid w:val="00954EF2"/>
    <w:rsid w:val="0096022D"/>
    <w:rsid w:val="0096699A"/>
    <w:rsid w:val="00966C5D"/>
    <w:rsid w:val="00983E32"/>
    <w:rsid w:val="009A78AF"/>
    <w:rsid w:val="009C08AE"/>
    <w:rsid w:val="009D3775"/>
    <w:rsid w:val="00A05EC0"/>
    <w:rsid w:val="00A514B2"/>
    <w:rsid w:val="00A6466C"/>
    <w:rsid w:val="00A71284"/>
    <w:rsid w:val="00A74DE3"/>
    <w:rsid w:val="00A91692"/>
    <w:rsid w:val="00AD6726"/>
    <w:rsid w:val="00AF4CEF"/>
    <w:rsid w:val="00B33C73"/>
    <w:rsid w:val="00B41F6F"/>
    <w:rsid w:val="00B439F2"/>
    <w:rsid w:val="00B51965"/>
    <w:rsid w:val="00B579C1"/>
    <w:rsid w:val="00B90A1F"/>
    <w:rsid w:val="00B96547"/>
    <w:rsid w:val="00BA3912"/>
    <w:rsid w:val="00BB79D5"/>
    <w:rsid w:val="00BC60A4"/>
    <w:rsid w:val="00BD2178"/>
    <w:rsid w:val="00BD2AB2"/>
    <w:rsid w:val="00BD3687"/>
    <w:rsid w:val="00BD4ECB"/>
    <w:rsid w:val="00BD790F"/>
    <w:rsid w:val="00BE26E0"/>
    <w:rsid w:val="00BE764B"/>
    <w:rsid w:val="00BF0758"/>
    <w:rsid w:val="00C02500"/>
    <w:rsid w:val="00C457B0"/>
    <w:rsid w:val="00C467F3"/>
    <w:rsid w:val="00C65B8B"/>
    <w:rsid w:val="00C7340B"/>
    <w:rsid w:val="00C73449"/>
    <w:rsid w:val="00C771B3"/>
    <w:rsid w:val="00CB5D64"/>
    <w:rsid w:val="00CC5E24"/>
    <w:rsid w:val="00CD34CA"/>
    <w:rsid w:val="00CD7EA3"/>
    <w:rsid w:val="00CF19EB"/>
    <w:rsid w:val="00D016F5"/>
    <w:rsid w:val="00D2488F"/>
    <w:rsid w:val="00D36BB7"/>
    <w:rsid w:val="00D378D4"/>
    <w:rsid w:val="00D54137"/>
    <w:rsid w:val="00D608AB"/>
    <w:rsid w:val="00D74ABA"/>
    <w:rsid w:val="00D83A04"/>
    <w:rsid w:val="00DA7FE6"/>
    <w:rsid w:val="00DD6992"/>
    <w:rsid w:val="00DF21FC"/>
    <w:rsid w:val="00E1046F"/>
    <w:rsid w:val="00E1148B"/>
    <w:rsid w:val="00E15A26"/>
    <w:rsid w:val="00E17B17"/>
    <w:rsid w:val="00E22656"/>
    <w:rsid w:val="00E34199"/>
    <w:rsid w:val="00E41BCF"/>
    <w:rsid w:val="00E80FDD"/>
    <w:rsid w:val="00ED3BD2"/>
    <w:rsid w:val="00EE1C89"/>
    <w:rsid w:val="00EE6EAC"/>
    <w:rsid w:val="00F23EBB"/>
    <w:rsid w:val="00F3018A"/>
    <w:rsid w:val="00F46519"/>
    <w:rsid w:val="00F46A3B"/>
    <w:rsid w:val="00F74D54"/>
    <w:rsid w:val="00FA5DC4"/>
    <w:rsid w:val="00FB53A5"/>
    <w:rsid w:val="00FC24CE"/>
    <w:rsid w:val="00FE36A4"/>
    <w:rsid w:val="00FE3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bCs/>
      <w:sz w:val="22"/>
      <w:szCs w:val="22"/>
    </w:rPr>
  </w:style>
  <w:style w:type="paragraph" w:styleId="Heading3">
    <w:name w:val="heading 3"/>
    <w:basedOn w:val="Normal"/>
    <w:next w:val="Normal"/>
    <w:link w:val="Heading3Char"/>
    <w:qFormat/>
    <w:rsid w:val="007454D5"/>
    <w:pPr>
      <w:keepNext/>
      <w:outlineLvl w:val="2"/>
    </w:pPr>
    <w:rPr>
      <w:rFonts w:cs="Times New Roman"/>
      <w:bCs w:val="0"/>
      <w:i/>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C7590"/>
    <w:pPr>
      <w:tabs>
        <w:tab w:val="center" w:pos="4320"/>
        <w:tab w:val="right" w:pos="8640"/>
      </w:tabs>
    </w:pPr>
  </w:style>
  <w:style w:type="character" w:styleId="PageNumber">
    <w:name w:val="page number"/>
    <w:basedOn w:val="DefaultParagraphFont"/>
    <w:rsid w:val="001C7590"/>
  </w:style>
  <w:style w:type="paragraph" w:styleId="Header">
    <w:name w:val="header"/>
    <w:basedOn w:val="Normal"/>
    <w:rsid w:val="001C7590"/>
    <w:pPr>
      <w:tabs>
        <w:tab w:val="center" w:pos="4320"/>
        <w:tab w:val="right" w:pos="8640"/>
      </w:tabs>
    </w:pPr>
  </w:style>
  <w:style w:type="paragraph" w:styleId="BodyText3">
    <w:name w:val="Body Text 3"/>
    <w:basedOn w:val="Normal"/>
    <w:rsid w:val="008B2F5D"/>
    <w:pPr>
      <w:spacing w:after="120"/>
    </w:pPr>
    <w:rPr>
      <w:rFonts w:ascii="New York" w:hAnsi="New York" w:cs="Times New Roman"/>
      <w:bCs w:val="0"/>
      <w:sz w:val="16"/>
      <w:szCs w:val="16"/>
    </w:rPr>
  </w:style>
  <w:style w:type="paragraph" w:styleId="Caption">
    <w:name w:val="caption"/>
    <w:basedOn w:val="Normal"/>
    <w:next w:val="Normal"/>
    <w:qFormat/>
    <w:rsid w:val="00565384"/>
    <w:rPr>
      <w:b/>
      <w:sz w:val="20"/>
      <w:szCs w:val="20"/>
    </w:rPr>
  </w:style>
  <w:style w:type="character" w:customStyle="1" w:styleId="Heading3Char">
    <w:name w:val="Heading 3 Char"/>
    <w:basedOn w:val="DefaultParagraphFont"/>
    <w:link w:val="Heading3"/>
    <w:rsid w:val="007454D5"/>
    <w:rPr>
      <w:i/>
      <w:sz w:val="24"/>
      <w:u w:val="single"/>
    </w:rPr>
  </w:style>
  <w:style w:type="character" w:styleId="Hyperlink">
    <w:name w:val="Hyperlink"/>
    <w:basedOn w:val="DefaultParagraphFont"/>
    <w:rsid w:val="004B717A"/>
    <w:rPr>
      <w:color w:val="0000FF"/>
      <w:u w:val="single"/>
    </w:rPr>
  </w:style>
  <w:style w:type="paragraph" w:styleId="ListParagraph">
    <w:name w:val="List Paragraph"/>
    <w:basedOn w:val="Normal"/>
    <w:uiPriority w:val="34"/>
    <w:qFormat/>
    <w:rsid w:val="00D83A04"/>
    <w:pPr>
      <w:ind w:left="720"/>
      <w:contextualSpacing/>
    </w:pPr>
  </w:style>
  <w:style w:type="character" w:styleId="PlaceholderText">
    <w:name w:val="Placeholder Text"/>
    <w:basedOn w:val="DefaultParagraphFont"/>
    <w:uiPriority w:val="99"/>
    <w:semiHidden/>
    <w:rsid w:val="009A78AF"/>
    <w:rPr>
      <w:color w:val="808080"/>
    </w:rPr>
  </w:style>
  <w:style w:type="paragraph" w:styleId="BalloonText">
    <w:name w:val="Balloon Text"/>
    <w:basedOn w:val="Normal"/>
    <w:link w:val="BalloonTextChar"/>
    <w:rsid w:val="009A78AF"/>
    <w:rPr>
      <w:rFonts w:ascii="Tahoma" w:hAnsi="Tahoma" w:cs="Tahoma"/>
      <w:sz w:val="16"/>
      <w:szCs w:val="16"/>
    </w:rPr>
  </w:style>
  <w:style w:type="character" w:customStyle="1" w:styleId="BalloonTextChar">
    <w:name w:val="Balloon Text Char"/>
    <w:basedOn w:val="DefaultParagraphFont"/>
    <w:link w:val="BalloonText"/>
    <w:rsid w:val="009A78AF"/>
    <w:rPr>
      <w:rFonts w:ascii="Tahoma" w:hAnsi="Tahoma" w:cs="Tahoma"/>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bCs/>
      <w:sz w:val="22"/>
      <w:szCs w:val="22"/>
    </w:rPr>
  </w:style>
  <w:style w:type="paragraph" w:styleId="Heading3">
    <w:name w:val="heading 3"/>
    <w:basedOn w:val="Normal"/>
    <w:next w:val="Normal"/>
    <w:link w:val="Heading3Char"/>
    <w:qFormat/>
    <w:rsid w:val="007454D5"/>
    <w:pPr>
      <w:keepNext/>
      <w:outlineLvl w:val="2"/>
    </w:pPr>
    <w:rPr>
      <w:rFonts w:cs="Times New Roman"/>
      <w:bCs w:val="0"/>
      <w:i/>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C7590"/>
    <w:pPr>
      <w:tabs>
        <w:tab w:val="center" w:pos="4320"/>
        <w:tab w:val="right" w:pos="8640"/>
      </w:tabs>
    </w:pPr>
  </w:style>
  <w:style w:type="character" w:styleId="PageNumber">
    <w:name w:val="page number"/>
    <w:basedOn w:val="DefaultParagraphFont"/>
    <w:rsid w:val="001C7590"/>
  </w:style>
  <w:style w:type="paragraph" w:styleId="Header">
    <w:name w:val="header"/>
    <w:basedOn w:val="Normal"/>
    <w:rsid w:val="001C7590"/>
    <w:pPr>
      <w:tabs>
        <w:tab w:val="center" w:pos="4320"/>
        <w:tab w:val="right" w:pos="8640"/>
      </w:tabs>
    </w:pPr>
  </w:style>
  <w:style w:type="paragraph" w:styleId="BodyText3">
    <w:name w:val="Body Text 3"/>
    <w:basedOn w:val="Normal"/>
    <w:rsid w:val="008B2F5D"/>
    <w:pPr>
      <w:spacing w:after="120"/>
    </w:pPr>
    <w:rPr>
      <w:rFonts w:ascii="New York" w:hAnsi="New York" w:cs="Times New Roman"/>
      <w:bCs w:val="0"/>
      <w:sz w:val="16"/>
      <w:szCs w:val="16"/>
    </w:rPr>
  </w:style>
  <w:style w:type="paragraph" w:styleId="Caption">
    <w:name w:val="caption"/>
    <w:basedOn w:val="Normal"/>
    <w:next w:val="Normal"/>
    <w:qFormat/>
    <w:rsid w:val="00565384"/>
    <w:rPr>
      <w:b/>
      <w:sz w:val="20"/>
      <w:szCs w:val="20"/>
    </w:rPr>
  </w:style>
  <w:style w:type="character" w:customStyle="1" w:styleId="Heading3Char">
    <w:name w:val="Heading 3 Char"/>
    <w:basedOn w:val="DefaultParagraphFont"/>
    <w:link w:val="Heading3"/>
    <w:rsid w:val="007454D5"/>
    <w:rPr>
      <w:i/>
      <w:sz w:val="24"/>
      <w:u w:val="single"/>
    </w:rPr>
  </w:style>
  <w:style w:type="character" w:styleId="Hyperlink">
    <w:name w:val="Hyperlink"/>
    <w:basedOn w:val="DefaultParagraphFont"/>
    <w:rsid w:val="004B717A"/>
    <w:rPr>
      <w:color w:val="0000FF"/>
      <w:u w:val="single"/>
    </w:rPr>
  </w:style>
  <w:style w:type="paragraph" w:styleId="ListParagraph">
    <w:name w:val="List Paragraph"/>
    <w:basedOn w:val="Normal"/>
    <w:uiPriority w:val="34"/>
    <w:qFormat/>
    <w:rsid w:val="00D83A04"/>
    <w:pPr>
      <w:ind w:left="720"/>
      <w:contextualSpacing/>
    </w:pPr>
  </w:style>
  <w:style w:type="character" w:styleId="PlaceholderText">
    <w:name w:val="Placeholder Text"/>
    <w:basedOn w:val="DefaultParagraphFont"/>
    <w:uiPriority w:val="99"/>
    <w:semiHidden/>
    <w:rsid w:val="009A78AF"/>
    <w:rPr>
      <w:color w:val="808080"/>
    </w:rPr>
  </w:style>
  <w:style w:type="paragraph" w:styleId="BalloonText">
    <w:name w:val="Balloon Text"/>
    <w:basedOn w:val="Normal"/>
    <w:link w:val="BalloonTextChar"/>
    <w:rsid w:val="009A78AF"/>
    <w:rPr>
      <w:rFonts w:ascii="Tahoma" w:hAnsi="Tahoma" w:cs="Tahoma"/>
      <w:sz w:val="16"/>
      <w:szCs w:val="16"/>
    </w:rPr>
  </w:style>
  <w:style w:type="character" w:customStyle="1" w:styleId="BalloonTextChar">
    <w:name w:val="Balloon Text Char"/>
    <w:basedOn w:val="DefaultParagraphFont"/>
    <w:link w:val="BalloonText"/>
    <w:rsid w:val="009A78AF"/>
    <w:rPr>
      <w:rFonts w:ascii="Tahoma" w:hAnsi="Tahoma" w:cs="Tahoma"/>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99932">
      <w:bodyDiv w:val="1"/>
      <w:marLeft w:val="0"/>
      <w:marRight w:val="0"/>
      <w:marTop w:val="0"/>
      <w:marBottom w:val="0"/>
      <w:divBdr>
        <w:top w:val="none" w:sz="0" w:space="0" w:color="auto"/>
        <w:left w:val="none" w:sz="0" w:space="0" w:color="auto"/>
        <w:bottom w:val="none" w:sz="0" w:space="0" w:color="auto"/>
        <w:right w:val="none" w:sz="0" w:space="0" w:color="auto"/>
      </w:divBdr>
    </w:div>
    <w:div w:id="569970885">
      <w:bodyDiv w:val="1"/>
      <w:marLeft w:val="0"/>
      <w:marRight w:val="0"/>
      <w:marTop w:val="0"/>
      <w:marBottom w:val="0"/>
      <w:divBdr>
        <w:top w:val="none" w:sz="0" w:space="0" w:color="auto"/>
        <w:left w:val="none" w:sz="0" w:space="0" w:color="auto"/>
        <w:bottom w:val="none" w:sz="0" w:space="0" w:color="auto"/>
        <w:right w:val="none" w:sz="0" w:space="0" w:color="auto"/>
      </w:divBdr>
    </w:div>
    <w:div w:id="984049598">
      <w:bodyDiv w:val="1"/>
      <w:marLeft w:val="0"/>
      <w:marRight w:val="0"/>
      <w:marTop w:val="0"/>
      <w:marBottom w:val="0"/>
      <w:divBdr>
        <w:top w:val="none" w:sz="0" w:space="0" w:color="auto"/>
        <w:left w:val="none" w:sz="0" w:space="0" w:color="auto"/>
        <w:bottom w:val="none" w:sz="0" w:space="0" w:color="auto"/>
        <w:right w:val="none" w:sz="0" w:space="0" w:color="auto"/>
      </w:divBdr>
    </w:div>
    <w:div w:id="1323122039">
      <w:bodyDiv w:val="1"/>
      <w:marLeft w:val="0"/>
      <w:marRight w:val="0"/>
      <w:marTop w:val="0"/>
      <w:marBottom w:val="0"/>
      <w:divBdr>
        <w:top w:val="none" w:sz="0" w:space="0" w:color="auto"/>
        <w:left w:val="none" w:sz="0" w:space="0" w:color="auto"/>
        <w:bottom w:val="none" w:sz="0" w:space="0" w:color="auto"/>
        <w:right w:val="none" w:sz="0" w:space="0" w:color="auto"/>
      </w:divBdr>
    </w:div>
    <w:div w:id="1388602329">
      <w:bodyDiv w:val="1"/>
      <w:marLeft w:val="0"/>
      <w:marRight w:val="0"/>
      <w:marTop w:val="0"/>
      <w:marBottom w:val="0"/>
      <w:divBdr>
        <w:top w:val="none" w:sz="0" w:space="0" w:color="auto"/>
        <w:left w:val="none" w:sz="0" w:space="0" w:color="auto"/>
        <w:bottom w:val="none" w:sz="0" w:space="0" w:color="auto"/>
        <w:right w:val="none" w:sz="0" w:space="0" w:color="auto"/>
      </w:divBdr>
    </w:div>
    <w:div w:id="1763260536">
      <w:bodyDiv w:val="1"/>
      <w:marLeft w:val="0"/>
      <w:marRight w:val="0"/>
      <w:marTop w:val="0"/>
      <w:marBottom w:val="0"/>
      <w:divBdr>
        <w:top w:val="none" w:sz="0" w:space="0" w:color="auto"/>
        <w:left w:val="none" w:sz="0" w:space="0" w:color="auto"/>
        <w:bottom w:val="none" w:sz="0" w:space="0" w:color="auto"/>
        <w:right w:val="none" w:sz="0" w:space="0" w:color="auto"/>
      </w:divBdr>
    </w:div>
    <w:div w:id="193535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chesapeakebay.net/channel_files/24719/2017-04-04_conowingo_hdr_g1g2g3_2.pdf"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hesapeakebay.net/publications/title/the_2010_chesapeake_bay_eutrophication_model1"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chesapeakebay.net/modsc.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2589</TotalTime>
  <Pages>9</Pages>
  <Words>2176</Words>
  <Characters>12406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Introduction</vt:lpstr>
    </vt:vector>
  </TitlesOfParts>
  <Company>ERDC Vicksburg, MS</Company>
  <LinksUpToDate>false</LinksUpToDate>
  <CharactersWithSpaces>14553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Carl Cerco</dc:creator>
  <cp:lastModifiedBy>Carl Cerco</cp:lastModifiedBy>
  <cp:revision>26</cp:revision>
  <dcterms:created xsi:type="dcterms:W3CDTF">2017-05-03T17:29:00Z</dcterms:created>
  <dcterms:modified xsi:type="dcterms:W3CDTF">2018-07-09T17:04:00Z</dcterms:modified>
</cp:coreProperties>
</file>