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966C18">
      <w:pPr>
        <w:pStyle w:val="NoSpacing"/>
        <w:numPr>
          <w:ilvl w:val="0"/>
          <w:numId w:val="7"/>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39449C">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13EB17A7" w:rsidR="0039449C" w:rsidRDefault="005229B1" w:rsidP="006A29AE">
      <w:pPr>
        <w:spacing w:after="0"/>
        <w:rPr>
          <w:b/>
          <w:sz w:val="24"/>
          <w:szCs w:val="24"/>
        </w:rPr>
      </w:pPr>
      <w:r>
        <w:rPr>
          <w:b/>
          <w:sz w:val="24"/>
          <w:szCs w:val="24"/>
        </w:rPr>
        <w:lastRenderedPageBreak/>
        <w:t>Fish Passage</w:t>
      </w:r>
      <w:r w:rsidR="0039449C">
        <w:rPr>
          <w:b/>
          <w:sz w:val="24"/>
          <w:szCs w:val="24"/>
        </w:rPr>
        <w:t xml:space="preserve"> Logic Table and </w:t>
      </w:r>
      <w:r w:rsidR="00FF4682">
        <w:rPr>
          <w:b/>
          <w:sz w:val="24"/>
          <w:szCs w:val="24"/>
        </w:rPr>
        <w:t>Work Plan</w:t>
      </w:r>
    </w:p>
    <w:p w14:paraId="438432AD" w14:textId="77777777" w:rsidR="0039449C" w:rsidRDefault="0039449C" w:rsidP="006A29AE">
      <w:pPr>
        <w:spacing w:after="0"/>
        <w:rPr>
          <w:b/>
          <w:sz w:val="24"/>
          <w:szCs w:val="24"/>
        </w:rPr>
      </w:pPr>
    </w:p>
    <w:p w14:paraId="1170E095" w14:textId="2E9E6552" w:rsidR="006A29AE" w:rsidRPr="00630FB5" w:rsidRDefault="00FF4682" w:rsidP="006A29AE">
      <w:pPr>
        <w:spacing w:after="0"/>
        <w:rPr>
          <w:sz w:val="24"/>
          <w:szCs w:val="24"/>
        </w:rPr>
      </w:pPr>
      <w:r>
        <w:rPr>
          <w:b/>
          <w:sz w:val="24"/>
          <w:szCs w:val="24"/>
        </w:rPr>
        <w:t xml:space="preserve">Primary </w:t>
      </w:r>
      <w:r w:rsidR="002B2621">
        <w:rPr>
          <w:b/>
          <w:sz w:val="24"/>
          <w:szCs w:val="24"/>
        </w:rPr>
        <w:t>User</w:t>
      </w:r>
      <w:r w:rsidR="001E6A98">
        <w:rPr>
          <w:b/>
          <w:sz w:val="24"/>
          <w:szCs w:val="24"/>
        </w:rPr>
        <w:t>s</w:t>
      </w:r>
      <w:r w:rsidR="006A29AE" w:rsidRPr="006A29AE">
        <w:rPr>
          <w:b/>
          <w:sz w:val="24"/>
          <w:szCs w:val="24"/>
        </w:rPr>
        <w:t>:</w:t>
      </w:r>
      <w:r w:rsidR="00560502">
        <w:rPr>
          <w:b/>
          <w:sz w:val="24"/>
          <w:szCs w:val="24"/>
        </w:rPr>
        <w:t xml:space="preserve"> </w:t>
      </w:r>
      <w:r w:rsidR="00560502" w:rsidRPr="00630FB5">
        <w:rPr>
          <w:sz w:val="24"/>
          <w:szCs w:val="24"/>
        </w:rPr>
        <w:t xml:space="preserve">Goal </w:t>
      </w:r>
      <w:r>
        <w:rPr>
          <w:sz w:val="24"/>
          <w:szCs w:val="24"/>
        </w:rPr>
        <w:t xml:space="preserve">Implementation </w:t>
      </w:r>
      <w:r w:rsidR="00560502" w:rsidRPr="00630FB5">
        <w:rPr>
          <w:sz w:val="24"/>
          <w:szCs w:val="24"/>
        </w:rPr>
        <w:t>Teams</w:t>
      </w:r>
      <w:r w:rsidR="002B2621">
        <w:rPr>
          <w:sz w:val="24"/>
          <w:szCs w:val="24"/>
        </w:rPr>
        <w:t xml:space="preserve">, </w:t>
      </w:r>
      <w:r w:rsidR="00560502" w:rsidRPr="00630FB5">
        <w:rPr>
          <w:sz w:val="24"/>
          <w:szCs w:val="24"/>
        </w:rPr>
        <w:t>Workgroups</w:t>
      </w:r>
      <w:r w:rsidR="002B2621">
        <w:rPr>
          <w:sz w:val="24"/>
          <w:szCs w:val="24"/>
        </w:rPr>
        <w:t>, and Management Board</w:t>
      </w:r>
      <w:r w:rsidR="00560502" w:rsidRPr="00630FB5">
        <w:rPr>
          <w:sz w:val="24"/>
          <w:szCs w:val="24"/>
        </w:rPr>
        <w:t xml:space="preserve"> </w:t>
      </w:r>
      <w:r>
        <w:rPr>
          <w:sz w:val="24"/>
          <w:szCs w:val="24"/>
        </w:rPr>
        <w:t>| S</w:t>
      </w:r>
      <w:r w:rsidRPr="00630FB5">
        <w:rPr>
          <w:sz w:val="24"/>
          <w:szCs w:val="24"/>
        </w:rPr>
        <w:t xml:space="preserve">econdary </w:t>
      </w:r>
      <w:r>
        <w:rPr>
          <w:sz w:val="24"/>
          <w:szCs w:val="24"/>
        </w:rPr>
        <w:t>A</w:t>
      </w:r>
      <w:r w:rsidRPr="00630FB5">
        <w:rPr>
          <w:sz w:val="24"/>
          <w:szCs w:val="24"/>
        </w:rPr>
        <w:t>udience</w:t>
      </w:r>
      <w:r w:rsidR="00560502" w:rsidRPr="00630FB5">
        <w:rPr>
          <w:sz w:val="24"/>
          <w:szCs w:val="24"/>
        </w:rPr>
        <w:t xml:space="preserve">: </w:t>
      </w:r>
      <w:r>
        <w:rPr>
          <w:sz w:val="24"/>
          <w:szCs w:val="24"/>
        </w:rPr>
        <w:t>I</w:t>
      </w:r>
      <w:r w:rsidRPr="00630FB5">
        <w:rPr>
          <w:sz w:val="24"/>
          <w:szCs w:val="24"/>
        </w:rPr>
        <w:t xml:space="preserve">nterested </w:t>
      </w:r>
      <w:r>
        <w:rPr>
          <w:sz w:val="24"/>
          <w:szCs w:val="24"/>
        </w:rPr>
        <w:t>I</w:t>
      </w:r>
      <w:r w:rsidRPr="00630FB5">
        <w:rPr>
          <w:sz w:val="24"/>
          <w:szCs w:val="24"/>
        </w:rPr>
        <w:t xml:space="preserve">nternal </w:t>
      </w:r>
      <w:r w:rsidR="00560502" w:rsidRPr="00630FB5">
        <w:rPr>
          <w:sz w:val="24"/>
          <w:szCs w:val="24"/>
        </w:rPr>
        <w:t xml:space="preserve">or </w:t>
      </w:r>
      <w:r>
        <w:rPr>
          <w:sz w:val="24"/>
          <w:szCs w:val="24"/>
        </w:rPr>
        <w:t>E</w:t>
      </w:r>
      <w:r w:rsidRPr="00630FB5">
        <w:rPr>
          <w:sz w:val="24"/>
          <w:szCs w:val="24"/>
        </w:rPr>
        <w:t xml:space="preserve">xternal </w:t>
      </w:r>
      <w:r>
        <w:rPr>
          <w:sz w:val="24"/>
          <w:szCs w:val="24"/>
        </w:rPr>
        <w:t>P</w:t>
      </w:r>
      <w:r w:rsidRPr="00630FB5">
        <w:rPr>
          <w:sz w:val="24"/>
          <w:szCs w:val="24"/>
        </w:rPr>
        <w:t>arties</w:t>
      </w:r>
    </w:p>
    <w:p w14:paraId="333548F9" w14:textId="229A1B13" w:rsidR="006A29AE" w:rsidRDefault="00FF4682" w:rsidP="006A29AE">
      <w:pPr>
        <w:spacing w:after="0"/>
        <w:rPr>
          <w:sz w:val="24"/>
          <w:szCs w:val="24"/>
        </w:rPr>
      </w:pPr>
      <w:r>
        <w:rPr>
          <w:b/>
          <w:sz w:val="24"/>
          <w:szCs w:val="24"/>
        </w:rPr>
        <w:t xml:space="preserve">Primary </w:t>
      </w:r>
      <w:r w:rsidR="006A29AE" w:rsidRPr="006A29AE">
        <w:rPr>
          <w:b/>
          <w:sz w:val="24"/>
          <w:szCs w:val="24"/>
        </w:rPr>
        <w:t>Purpose:</w:t>
      </w:r>
      <w:r w:rsidR="00560502">
        <w:rPr>
          <w:b/>
          <w:sz w:val="24"/>
          <w:szCs w:val="24"/>
        </w:rPr>
        <w:t xml:space="preserve"> </w:t>
      </w:r>
      <w:r>
        <w:rPr>
          <w:sz w:val="24"/>
          <w:szCs w:val="24"/>
        </w:rPr>
        <w:t>T</w:t>
      </w:r>
      <w:r w:rsidRPr="00630FB5">
        <w:rPr>
          <w:sz w:val="24"/>
          <w:szCs w:val="24"/>
        </w:rPr>
        <w:t xml:space="preserve">o </w:t>
      </w:r>
      <w:r w:rsidR="00560502" w:rsidRPr="00630FB5">
        <w:rPr>
          <w:sz w:val="24"/>
          <w:szCs w:val="24"/>
        </w:rPr>
        <w:t xml:space="preserve">assist </w:t>
      </w:r>
      <w:r w:rsidR="00925DE8">
        <w:rPr>
          <w:sz w:val="24"/>
          <w:szCs w:val="24"/>
        </w:rPr>
        <w:t>partner</w:t>
      </w:r>
      <w:r w:rsidR="00925DE8" w:rsidRPr="00630FB5">
        <w:rPr>
          <w:sz w:val="24"/>
          <w:szCs w:val="24"/>
        </w:rPr>
        <w:t xml:space="preserve">s </w:t>
      </w:r>
      <w:r w:rsidR="00560502" w:rsidRPr="00630FB5">
        <w:rPr>
          <w:sz w:val="24"/>
          <w:szCs w:val="24"/>
        </w:rPr>
        <w:t>in thinking through the relation</w:t>
      </w:r>
      <w:r>
        <w:rPr>
          <w:sz w:val="24"/>
          <w:szCs w:val="24"/>
        </w:rPr>
        <w:t>ship</w:t>
      </w:r>
      <w:r w:rsidR="00925DE8">
        <w:rPr>
          <w:sz w:val="24"/>
          <w:szCs w:val="24"/>
        </w:rPr>
        <w:t>s</w:t>
      </w:r>
      <w:r w:rsidR="00560502" w:rsidRPr="00630FB5">
        <w:rPr>
          <w:sz w:val="24"/>
          <w:szCs w:val="24"/>
        </w:rPr>
        <w:t xml:space="preserve"> </w:t>
      </w:r>
      <w:r>
        <w:rPr>
          <w:sz w:val="24"/>
          <w:szCs w:val="24"/>
        </w:rPr>
        <w:t>between</w:t>
      </w:r>
      <w:r w:rsidRPr="00630FB5">
        <w:rPr>
          <w:sz w:val="24"/>
          <w:szCs w:val="24"/>
        </w:rPr>
        <w:t xml:space="preserve"> </w:t>
      </w:r>
      <w:r w:rsidR="00560502" w:rsidRPr="00630FB5">
        <w:rPr>
          <w:sz w:val="24"/>
          <w:szCs w:val="24"/>
        </w:rPr>
        <w:t xml:space="preserve">their actions </w:t>
      </w:r>
      <w:r>
        <w:rPr>
          <w:sz w:val="24"/>
          <w:szCs w:val="24"/>
        </w:rPr>
        <w:t>and</w:t>
      </w:r>
      <w:r w:rsidRPr="00630FB5">
        <w:rPr>
          <w:sz w:val="24"/>
          <w:szCs w:val="24"/>
        </w:rPr>
        <w:t xml:space="preserve"> </w:t>
      </w:r>
      <w:r w:rsidR="00560502" w:rsidRPr="00630FB5">
        <w:rPr>
          <w:sz w:val="24"/>
          <w:szCs w:val="24"/>
        </w:rPr>
        <w:t>specific factors, existing programs and gaps (either new or identified in the</w:t>
      </w:r>
      <w:r>
        <w:rPr>
          <w:sz w:val="24"/>
          <w:szCs w:val="24"/>
        </w:rPr>
        <w:t>ir</w:t>
      </w:r>
      <w:r w:rsidR="00560502" w:rsidRPr="00630FB5">
        <w:rPr>
          <w:sz w:val="24"/>
          <w:szCs w:val="24"/>
        </w:rPr>
        <w:t xml:space="preserve"> Management Strategies</w:t>
      </w:r>
      <w:r w:rsidRPr="00630FB5">
        <w:rPr>
          <w:sz w:val="24"/>
          <w:szCs w:val="24"/>
        </w:rPr>
        <w:t>)</w:t>
      </w:r>
      <w:r>
        <w:rPr>
          <w:sz w:val="24"/>
          <w:szCs w:val="24"/>
        </w:rPr>
        <w:t xml:space="preserve"> and </w:t>
      </w:r>
      <w:r w:rsidR="00560502" w:rsidRPr="00630FB5">
        <w:rPr>
          <w:sz w:val="24"/>
          <w:szCs w:val="24"/>
        </w:rPr>
        <w:t xml:space="preserve">to </w:t>
      </w:r>
      <w:r>
        <w:rPr>
          <w:sz w:val="24"/>
          <w:szCs w:val="24"/>
        </w:rPr>
        <w:t xml:space="preserve">help </w:t>
      </w:r>
      <w:r w:rsidR="00560502" w:rsidRPr="00630FB5">
        <w:rPr>
          <w:sz w:val="24"/>
          <w:szCs w:val="24"/>
        </w:rPr>
        <w:t>workgroup</w:t>
      </w:r>
      <w:r>
        <w:rPr>
          <w:sz w:val="24"/>
          <w:szCs w:val="24"/>
        </w:rPr>
        <w:t xml:space="preserve">s </w:t>
      </w:r>
      <w:r w:rsidR="00100E64">
        <w:rPr>
          <w:sz w:val="24"/>
          <w:szCs w:val="24"/>
        </w:rPr>
        <w:t xml:space="preserve">and Goal Implementation Teams </w:t>
      </w:r>
      <w:r>
        <w:rPr>
          <w:sz w:val="24"/>
          <w:szCs w:val="24"/>
        </w:rPr>
        <w:t>prepare</w:t>
      </w:r>
      <w:r w:rsidR="00560502" w:rsidRPr="00630FB5">
        <w:rPr>
          <w:sz w:val="24"/>
          <w:szCs w:val="24"/>
        </w:rPr>
        <w:t xml:space="preserve"> to present significant findings </w:t>
      </w:r>
      <w:r>
        <w:rPr>
          <w:sz w:val="24"/>
          <w:szCs w:val="24"/>
        </w:rPr>
        <w:t xml:space="preserve">related to these actions and/or factors, existing programs and gaps </w:t>
      </w:r>
      <w:r w:rsidR="00560502" w:rsidRPr="00630FB5">
        <w:rPr>
          <w:sz w:val="24"/>
          <w:szCs w:val="24"/>
        </w:rPr>
        <w:t>to the Management Board.</w:t>
      </w:r>
      <w:r>
        <w:rPr>
          <w:sz w:val="24"/>
          <w:szCs w:val="24"/>
        </w:rPr>
        <w:t xml:space="preserve"> | S</w:t>
      </w:r>
      <w:r w:rsidR="00560502" w:rsidRPr="00630FB5">
        <w:rPr>
          <w:sz w:val="24"/>
          <w:szCs w:val="24"/>
        </w:rPr>
        <w:t xml:space="preserve">econdary </w:t>
      </w:r>
      <w:r>
        <w:rPr>
          <w:sz w:val="24"/>
          <w:szCs w:val="24"/>
        </w:rPr>
        <w:t>P</w:t>
      </w:r>
      <w:r w:rsidRPr="00630FB5">
        <w:rPr>
          <w:sz w:val="24"/>
          <w:szCs w:val="24"/>
        </w:rPr>
        <w:t>urpose</w:t>
      </w:r>
      <w:r w:rsidR="00560502" w:rsidRPr="00630FB5">
        <w:rPr>
          <w:sz w:val="24"/>
          <w:szCs w:val="24"/>
        </w:rPr>
        <w:t xml:space="preserve">: </w:t>
      </w:r>
      <w:r>
        <w:rPr>
          <w:sz w:val="24"/>
          <w:szCs w:val="24"/>
        </w:rPr>
        <w:t>T</w:t>
      </w:r>
      <w:r w:rsidRPr="00630FB5">
        <w:rPr>
          <w:sz w:val="24"/>
          <w:szCs w:val="24"/>
        </w:rPr>
        <w:t xml:space="preserve">o </w:t>
      </w:r>
      <w:r w:rsidR="00560502" w:rsidRPr="00630FB5">
        <w:rPr>
          <w:sz w:val="24"/>
          <w:szCs w:val="24"/>
        </w:rPr>
        <w:t xml:space="preserve">enable those </w:t>
      </w:r>
      <w:r>
        <w:rPr>
          <w:sz w:val="24"/>
          <w:szCs w:val="24"/>
        </w:rPr>
        <w:t xml:space="preserve">who are </w:t>
      </w:r>
      <w:r w:rsidR="00560502" w:rsidRPr="00630FB5">
        <w:rPr>
          <w:sz w:val="24"/>
          <w:szCs w:val="24"/>
        </w:rPr>
        <w:t xml:space="preserve">not familiar with </w:t>
      </w:r>
      <w:r>
        <w:rPr>
          <w:sz w:val="24"/>
          <w:szCs w:val="24"/>
        </w:rPr>
        <w:t xml:space="preserve">a workgroup </w:t>
      </w:r>
      <w:r w:rsidR="00560502" w:rsidRPr="00630FB5">
        <w:rPr>
          <w:sz w:val="24"/>
          <w:szCs w:val="24"/>
        </w:rPr>
        <w:t xml:space="preserve">to understand and trace the logic driving </w:t>
      </w:r>
      <w:r>
        <w:rPr>
          <w:sz w:val="24"/>
          <w:szCs w:val="24"/>
        </w:rPr>
        <w:t>its</w:t>
      </w:r>
      <w:r w:rsidRPr="00630FB5">
        <w:rPr>
          <w:sz w:val="24"/>
          <w:szCs w:val="24"/>
        </w:rPr>
        <w:t xml:space="preserve"> </w:t>
      </w:r>
      <w:r w:rsidR="00560502" w:rsidRPr="00630FB5">
        <w:rPr>
          <w:sz w:val="24"/>
          <w:szCs w:val="24"/>
        </w:rPr>
        <w:t>actions</w:t>
      </w:r>
      <w:r>
        <w:rPr>
          <w:sz w:val="24"/>
          <w:szCs w:val="24"/>
        </w:rPr>
        <w:t>.</w:t>
      </w:r>
    </w:p>
    <w:p w14:paraId="0D0D7E5F" w14:textId="43CA82A2" w:rsidR="00A23037" w:rsidRPr="00630FB5" w:rsidRDefault="00A23037" w:rsidP="006A29AE">
      <w:pPr>
        <w:spacing w:after="0"/>
        <w:rPr>
          <w:sz w:val="24"/>
          <w:szCs w:val="24"/>
        </w:rPr>
      </w:pPr>
      <w:r w:rsidRPr="00A23037">
        <w:rPr>
          <w:b/>
          <w:sz w:val="24"/>
          <w:szCs w:val="24"/>
        </w:rPr>
        <w:t>Outcome:</w:t>
      </w:r>
      <w:r>
        <w:rPr>
          <w:sz w:val="24"/>
          <w:szCs w:val="24"/>
        </w:rPr>
        <w:t xml:space="preserve"> </w:t>
      </w:r>
      <w:r w:rsidRPr="00A23037">
        <w:rPr>
          <w:sz w:val="24"/>
          <w:szCs w:val="24"/>
        </w:rPr>
        <w:t>Continually increase habitat to support sustainable migratory fish populations in the Chesapeake Bay watershed’s freshwater rivers and streams. By 2025, restore historical fish migration routes by opening 1,000 additional stream miles to fish passage. Restoration success will be indicated by the consistent presence of alewife, blueback herring, American shad, hickory shad, American eel and brook trout, to be monitored in accordance with available agency resources and collaboratively developed methods.</w:t>
      </w:r>
    </w:p>
    <w:p w14:paraId="3A0B1AF0" w14:textId="78CF0EEF" w:rsidR="00463F09" w:rsidRPr="003124B3" w:rsidRDefault="001C0000" w:rsidP="006A29AE">
      <w:pPr>
        <w:spacing w:after="0"/>
        <w:rPr>
          <w:sz w:val="24"/>
          <w:szCs w:val="24"/>
          <w:highlight w:val="yellow"/>
        </w:rPr>
      </w:pPr>
      <w:r>
        <w:rPr>
          <w:b/>
          <w:sz w:val="24"/>
          <w:szCs w:val="24"/>
        </w:rPr>
        <w:t xml:space="preserve">Long-term </w:t>
      </w:r>
      <w:r w:rsidR="004A7685">
        <w:rPr>
          <w:b/>
          <w:sz w:val="24"/>
          <w:szCs w:val="24"/>
        </w:rPr>
        <w:t>Target</w:t>
      </w:r>
      <w:r w:rsidR="00001B30">
        <w:rPr>
          <w:b/>
          <w:sz w:val="24"/>
          <w:szCs w:val="24"/>
        </w:rPr>
        <w:t xml:space="preserve">: </w:t>
      </w:r>
      <w:r w:rsidR="005229B1">
        <w:rPr>
          <w:sz w:val="24"/>
          <w:szCs w:val="24"/>
        </w:rPr>
        <w:t xml:space="preserve">open an additional 1000 miles </w:t>
      </w:r>
      <w:r w:rsidR="005229B1" w:rsidRPr="005229B1">
        <w:rPr>
          <w:sz w:val="24"/>
          <w:szCs w:val="24"/>
        </w:rPr>
        <w:t>by 2025</w:t>
      </w:r>
      <w:r w:rsidR="002A523B" w:rsidRPr="00547FAB">
        <w:rPr>
          <w:sz w:val="24"/>
          <w:szCs w:val="24"/>
        </w:rPr>
        <w:t xml:space="preserve"> </w:t>
      </w:r>
    </w:p>
    <w:p w14:paraId="24D03FD9" w14:textId="048B0BE9" w:rsidR="001C0000" w:rsidRDefault="004A7685" w:rsidP="006A29AE">
      <w:pPr>
        <w:spacing w:after="0"/>
        <w:rPr>
          <w:sz w:val="24"/>
          <w:szCs w:val="24"/>
        </w:rPr>
      </w:pPr>
      <w:r>
        <w:rPr>
          <w:b/>
          <w:sz w:val="24"/>
          <w:szCs w:val="24"/>
        </w:rPr>
        <w:t>Two</w:t>
      </w:r>
      <w:r w:rsidR="001C0000" w:rsidRPr="001C0000">
        <w:rPr>
          <w:b/>
          <w:sz w:val="24"/>
          <w:szCs w:val="24"/>
        </w:rPr>
        <w:t xml:space="preserve">-year </w:t>
      </w:r>
      <w:r>
        <w:rPr>
          <w:b/>
          <w:sz w:val="24"/>
          <w:szCs w:val="24"/>
        </w:rPr>
        <w:t>T</w:t>
      </w:r>
      <w:r w:rsidRPr="001C0000">
        <w:rPr>
          <w:b/>
          <w:sz w:val="24"/>
          <w:szCs w:val="24"/>
        </w:rPr>
        <w:t>arget</w:t>
      </w:r>
      <w:r w:rsidR="00001B30">
        <w:rPr>
          <w:b/>
          <w:sz w:val="24"/>
          <w:szCs w:val="24"/>
        </w:rPr>
        <w:t xml:space="preserve">: </w:t>
      </w:r>
      <w:r w:rsidR="005229B1" w:rsidRPr="005229B1">
        <w:rPr>
          <w:sz w:val="24"/>
          <w:szCs w:val="24"/>
        </w:rPr>
        <w:t>open an additional 132 miles by 2020</w:t>
      </w:r>
    </w:p>
    <w:p w14:paraId="2A1206C4" w14:textId="518709D0" w:rsidR="002B2FA1" w:rsidRDefault="002B2FA1" w:rsidP="006A29AE">
      <w:pPr>
        <w:spacing w:after="0"/>
        <w:rPr>
          <w:b/>
          <w:sz w:val="24"/>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77777777" w:rsidR="002B2FA1" w:rsidRPr="00BF3A50" w:rsidRDefault="002B2FA1" w:rsidP="00213AE3">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213AE3">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213AE3">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213AE3">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213AE3">
            <w:pPr>
              <w:spacing w:line="276" w:lineRule="auto"/>
              <w:jc w:val="center"/>
              <w:rPr>
                <w:b w:val="0"/>
              </w:rPr>
            </w:pPr>
          </w:p>
        </w:tc>
        <w:tc>
          <w:tcPr>
            <w:tcW w:w="11086" w:type="dxa"/>
            <w:shd w:val="clear" w:color="auto" w:fill="C5E0B3" w:themeFill="accent6" w:themeFillTint="66"/>
          </w:tcPr>
          <w:p w14:paraId="1A6F0487"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852"/>
        <w:gridCol w:w="2992"/>
        <w:gridCol w:w="1763"/>
        <w:gridCol w:w="1249"/>
        <w:gridCol w:w="1508"/>
        <w:gridCol w:w="2044"/>
        <w:gridCol w:w="1982"/>
      </w:tblGrid>
      <w:tr w:rsidR="007E14C9" w:rsidRPr="00DB3E82" w14:paraId="7ADD5010" w14:textId="77777777" w:rsidTr="00C3397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0" w:type="auto"/>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0" w:type="auto"/>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0" w:type="auto"/>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0" w:type="auto"/>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0" w:type="auto"/>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0" w:type="auto"/>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7E14C9" w:rsidRPr="00DB3E82" w14:paraId="3F9ECB20" w14:textId="77777777" w:rsidTr="00C339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tcPr>
          <w:p w14:paraId="0591C0E3" w14:textId="356965B2" w:rsidR="004A3FEE" w:rsidRPr="004A3FEE" w:rsidRDefault="004A3FEE">
            <w:pPr>
              <w:rPr>
                <w:b w:val="0"/>
                <w:i/>
                <w:sz w:val="20"/>
                <w:szCs w:val="20"/>
              </w:rPr>
            </w:pPr>
            <w:r w:rsidRPr="004A3FEE">
              <w:rPr>
                <w:b w:val="0"/>
                <w:i/>
                <w:sz w:val="20"/>
                <w:szCs w:val="20"/>
              </w:rPr>
              <w:t>What is impacting our ability to achieve our outcome?</w:t>
            </w:r>
          </w:p>
        </w:tc>
        <w:tc>
          <w:tcPr>
            <w:tcW w:w="0" w:type="auto"/>
            <w:shd w:val="clear" w:color="auto" w:fill="A6A6A6" w:themeFill="background1" w:themeFillShade="A6"/>
          </w:tcPr>
          <w:p w14:paraId="43A166B5" w14:textId="21CF2D5E" w:rsidR="004A3FEE" w:rsidRPr="004A3FEE" w:rsidRDefault="004A3FEE">
            <w:pPr>
              <w:cnfStyle w:val="000000100000" w:firstRow="0" w:lastRow="0" w:firstColumn="0" w:lastColumn="0" w:oddVBand="0" w:evenVBand="0" w:oddHBand="1" w:evenHBand="0" w:firstRowFirstColumn="0" w:firstRowLastColumn="0" w:lastRowFirstColumn="0" w:lastRowLastColumn="0"/>
              <w:rPr>
                <w:i/>
                <w:sz w:val="20"/>
                <w:szCs w:val="20"/>
              </w:rPr>
            </w:pPr>
            <w:r w:rsidRPr="004A3FEE">
              <w:rPr>
                <w:i/>
                <w:sz w:val="20"/>
                <w:szCs w:val="20"/>
              </w:rPr>
              <w:t>What current efforts are addressing this factor?</w:t>
            </w:r>
          </w:p>
        </w:tc>
        <w:tc>
          <w:tcPr>
            <w:tcW w:w="0" w:type="auto"/>
            <w:shd w:val="clear" w:color="auto" w:fill="A6A6A6" w:themeFill="background1" w:themeFillShade="A6"/>
          </w:tcPr>
          <w:p w14:paraId="21EE07F8" w14:textId="4086A190" w:rsidR="004A3FEE" w:rsidRPr="004A3FEE" w:rsidRDefault="004A3FEE" w:rsidP="004A3FEE">
            <w:pPr>
              <w:cnfStyle w:val="000000100000" w:firstRow="0" w:lastRow="0" w:firstColumn="0" w:lastColumn="0" w:oddVBand="0" w:evenVBand="0" w:oddHBand="1" w:evenHBand="0" w:firstRowFirstColumn="0" w:firstRowLastColumn="0" w:lastRowFirstColumn="0" w:lastRowLastColumn="0"/>
              <w:rPr>
                <w:i/>
                <w:sz w:val="20"/>
                <w:szCs w:val="20"/>
              </w:rPr>
            </w:pPr>
            <w:r w:rsidRPr="004A3FEE">
              <w:rPr>
                <w:i/>
                <w:sz w:val="20"/>
                <w:szCs w:val="20"/>
              </w:rPr>
              <w:t>What furt</w:t>
            </w:r>
            <w:r w:rsidR="002F1473">
              <w:rPr>
                <w:i/>
                <w:sz w:val="20"/>
                <w:szCs w:val="20"/>
              </w:rPr>
              <w:t xml:space="preserve">her efforts or information are </w:t>
            </w:r>
            <w:r w:rsidRPr="004A3FEE">
              <w:rPr>
                <w:i/>
                <w:sz w:val="20"/>
                <w:szCs w:val="20"/>
              </w:rPr>
              <w:t>needed to fully address this factor?</w:t>
            </w:r>
          </w:p>
        </w:tc>
        <w:tc>
          <w:tcPr>
            <w:tcW w:w="0" w:type="auto"/>
            <w:shd w:val="clear" w:color="auto" w:fill="A6A6A6" w:themeFill="background1" w:themeFillShade="A6"/>
          </w:tcPr>
          <w:p w14:paraId="43B4833E" w14:textId="5A03CB9E" w:rsidR="004A3FEE" w:rsidRPr="004A3FEE" w:rsidRDefault="004A3FEE">
            <w:pPr>
              <w:cnfStyle w:val="000000100000" w:firstRow="0" w:lastRow="0" w:firstColumn="0" w:lastColumn="0" w:oddVBand="0" w:evenVBand="0" w:oddHBand="1" w:evenHBand="0" w:firstRowFirstColumn="0" w:firstRowLastColumn="0" w:lastRowFirstColumn="0" w:lastRowLastColumn="0"/>
              <w:rPr>
                <w:i/>
                <w:sz w:val="20"/>
                <w:szCs w:val="20"/>
              </w:rPr>
            </w:pPr>
            <w:r w:rsidRPr="004A3FEE">
              <w:rPr>
                <w:i/>
                <w:sz w:val="20"/>
                <w:szCs w:val="20"/>
              </w:rPr>
              <w:t>What actions are essential to achieve our outcome?</w:t>
            </w:r>
          </w:p>
        </w:tc>
        <w:tc>
          <w:tcPr>
            <w:tcW w:w="0" w:type="auto"/>
            <w:shd w:val="clear" w:color="auto" w:fill="A6A6A6" w:themeFill="background1" w:themeFillShade="A6"/>
          </w:tcPr>
          <w:p w14:paraId="7F1BCCAB" w14:textId="767C6D3A" w:rsidR="006D63DC" w:rsidRPr="004A3FEE" w:rsidRDefault="003037DF" w:rsidP="001E6A98">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Optional: </w:t>
            </w:r>
            <w:r w:rsidR="00852557">
              <w:rPr>
                <w:i/>
                <w:sz w:val="20"/>
                <w:szCs w:val="20"/>
              </w:rPr>
              <w:t xml:space="preserve">Do we have a measure of progress? </w:t>
            </w:r>
            <w:r w:rsidR="001C0000">
              <w:rPr>
                <w:i/>
                <w:sz w:val="20"/>
                <w:szCs w:val="20"/>
              </w:rPr>
              <w:t>How do we know</w:t>
            </w:r>
            <w:r>
              <w:rPr>
                <w:i/>
                <w:sz w:val="20"/>
                <w:szCs w:val="20"/>
              </w:rPr>
              <w:t xml:space="preserve"> if </w:t>
            </w:r>
            <w:r w:rsidR="001C0000">
              <w:rPr>
                <w:i/>
                <w:sz w:val="20"/>
                <w:szCs w:val="20"/>
              </w:rPr>
              <w:t xml:space="preserve">we have </w:t>
            </w:r>
            <w:r w:rsidR="001E6A98">
              <w:rPr>
                <w:i/>
                <w:sz w:val="20"/>
                <w:szCs w:val="20"/>
              </w:rPr>
              <w:t>achieved the intended result?</w:t>
            </w:r>
          </w:p>
        </w:tc>
        <w:tc>
          <w:tcPr>
            <w:tcW w:w="0" w:type="auto"/>
            <w:shd w:val="clear" w:color="auto" w:fill="A6A6A6" w:themeFill="background1" w:themeFillShade="A6"/>
          </w:tcPr>
          <w:p w14:paraId="69AFB969" w14:textId="5E38D5E7" w:rsidR="004A3FEE" w:rsidRDefault="003037DF" w:rsidP="004A3FEE">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Optional: </w:t>
            </w:r>
            <w:r w:rsidR="004A3FEE" w:rsidRPr="004A3FEE">
              <w:rPr>
                <w:i/>
                <w:sz w:val="20"/>
                <w:szCs w:val="20"/>
              </w:rPr>
              <w:t xml:space="preserve">What </w:t>
            </w:r>
            <w:r>
              <w:rPr>
                <w:i/>
                <w:sz w:val="20"/>
                <w:szCs w:val="20"/>
              </w:rPr>
              <w:t>effects</w:t>
            </w:r>
            <w:r w:rsidRPr="004A3FEE">
              <w:rPr>
                <w:i/>
                <w:sz w:val="20"/>
                <w:szCs w:val="20"/>
              </w:rPr>
              <w:t xml:space="preserve"> </w:t>
            </w:r>
            <w:r w:rsidR="004A3FEE" w:rsidRPr="004A3FEE">
              <w:rPr>
                <w:i/>
                <w:sz w:val="20"/>
                <w:szCs w:val="20"/>
              </w:rPr>
              <w:t xml:space="preserve">do we expect to see </w:t>
            </w:r>
            <w:r>
              <w:rPr>
                <w:i/>
                <w:sz w:val="20"/>
                <w:szCs w:val="20"/>
              </w:rPr>
              <w:t>as a result of this action,</w:t>
            </w:r>
            <w:r w:rsidR="004A3FEE" w:rsidRPr="004A3FEE">
              <w:rPr>
                <w:i/>
                <w:sz w:val="20"/>
                <w:szCs w:val="20"/>
              </w:rPr>
              <w:t xml:space="preserve"> when</w:t>
            </w:r>
            <w:r w:rsidR="002A523B">
              <w:rPr>
                <w:i/>
                <w:sz w:val="20"/>
                <w:szCs w:val="20"/>
              </w:rPr>
              <w:t>, and what is the anticipated application of these changes</w:t>
            </w:r>
            <w:r w:rsidR="004A3FEE" w:rsidRPr="004A3FEE">
              <w:rPr>
                <w:i/>
                <w:sz w:val="20"/>
                <w:szCs w:val="20"/>
              </w:rPr>
              <w:t>?</w:t>
            </w:r>
          </w:p>
          <w:p w14:paraId="6887B295" w14:textId="6CE4FEF2" w:rsidR="006D63DC" w:rsidRPr="004A3FEE" w:rsidRDefault="006D63DC" w:rsidP="004A3FEE">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shd w:val="clear" w:color="auto" w:fill="A6A6A6" w:themeFill="background1" w:themeFillShade="A6"/>
          </w:tcPr>
          <w:p w14:paraId="38DADEB6" w14:textId="23377F42" w:rsidR="004A3FEE" w:rsidRPr="004A3FEE" w:rsidRDefault="003037DF" w:rsidP="00087575">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Optional: </w:t>
            </w:r>
            <w:r w:rsidR="00087575">
              <w:rPr>
                <w:i/>
                <w:sz w:val="20"/>
                <w:szCs w:val="20"/>
              </w:rPr>
              <w:t>What did we learn from taking this action? How will this lesson impact our work?</w:t>
            </w:r>
            <w:r w:rsidR="006D63DC">
              <w:rPr>
                <w:i/>
                <w:sz w:val="20"/>
                <w:szCs w:val="20"/>
              </w:rPr>
              <w:t xml:space="preserve"> </w:t>
            </w:r>
          </w:p>
        </w:tc>
      </w:tr>
      <w:tr w:rsidR="007E14C9" w:rsidRPr="00DB3E82" w14:paraId="016CC5A0" w14:textId="77777777" w:rsidTr="00C3397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B4B252C" w14:textId="77777777" w:rsidR="00F94506" w:rsidRPr="00F94506" w:rsidRDefault="00F94506" w:rsidP="00F94506">
            <w:pPr>
              <w:rPr>
                <w:rFonts w:ascii="Calibri" w:hAnsi="Calibri"/>
                <w:b w:val="0"/>
                <w:color w:val="000000"/>
                <w:sz w:val="20"/>
                <w:szCs w:val="20"/>
              </w:rPr>
            </w:pPr>
            <w:r w:rsidRPr="00F94506">
              <w:rPr>
                <w:rFonts w:ascii="Calibri" w:hAnsi="Calibri"/>
                <w:color w:val="000000"/>
                <w:sz w:val="20"/>
                <w:szCs w:val="20"/>
              </w:rPr>
              <w:t xml:space="preserve">Local Legislative Engagement: </w:t>
            </w:r>
            <w:r w:rsidRPr="00F94506">
              <w:rPr>
                <w:rFonts w:ascii="Calibri" w:hAnsi="Calibri"/>
                <w:b w:val="0"/>
                <w:color w:val="000000"/>
                <w:sz w:val="20"/>
                <w:szCs w:val="20"/>
              </w:rPr>
              <w:t xml:space="preserve">Policy maker understanding of </w:t>
            </w:r>
            <w:r w:rsidRPr="00F94506">
              <w:rPr>
                <w:rFonts w:ascii="Calibri" w:hAnsi="Calibri"/>
                <w:b w:val="0"/>
                <w:color w:val="000000"/>
                <w:sz w:val="20"/>
                <w:szCs w:val="20"/>
              </w:rPr>
              <w:lastRenderedPageBreak/>
              <w:t>the ancillary benefits of dam removal</w:t>
            </w:r>
          </w:p>
          <w:p w14:paraId="4B1F696D" w14:textId="3F4DBB84" w:rsidR="00C154A6" w:rsidRPr="00F94506" w:rsidRDefault="00C154A6">
            <w:pPr>
              <w:rPr>
                <w:b w:val="0"/>
                <w:sz w:val="20"/>
                <w:szCs w:val="20"/>
              </w:rPr>
            </w:pPr>
          </w:p>
        </w:tc>
        <w:tc>
          <w:tcPr>
            <w:tcW w:w="0" w:type="auto"/>
          </w:tcPr>
          <w:p w14:paraId="51763B77" w14:textId="77777777" w:rsidR="00F94506" w:rsidRPr="00F94506" w:rsidRDefault="00F94506" w:rsidP="00F9450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F94506">
              <w:rPr>
                <w:rFonts w:ascii="Calibri" w:hAnsi="Calibri"/>
                <w:b/>
                <w:bCs/>
                <w:color w:val="000000"/>
                <w:sz w:val="20"/>
                <w:szCs w:val="20"/>
              </w:rPr>
              <w:lastRenderedPageBreak/>
              <w:t>WP Action (1.3):</w:t>
            </w:r>
            <w:r w:rsidRPr="00F94506">
              <w:rPr>
                <w:rFonts w:ascii="Calibri" w:hAnsi="Calibri"/>
                <w:color w:val="000000"/>
                <w:sz w:val="20"/>
                <w:szCs w:val="20"/>
              </w:rPr>
              <w:t xml:space="preserve"> Establish or continue relationships with state </w:t>
            </w:r>
            <w:r w:rsidRPr="00F94506">
              <w:rPr>
                <w:rFonts w:ascii="Calibri" w:hAnsi="Calibri"/>
                <w:color w:val="000000"/>
                <w:sz w:val="20"/>
                <w:szCs w:val="20"/>
              </w:rPr>
              <w:lastRenderedPageBreak/>
              <w:t>dam safety programs to coordinate dam removal</w:t>
            </w:r>
          </w:p>
          <w:p w14:paraId="381E39BA" w14:textId="77777777" w:rsidR="00C154A6" w:rsidRPr="00F94506" w:rsidRDefault="00C154A6">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tcPr>
          <w:p w14:paraId="14D5F0AD" w14:textId="77777777" w:rsidR="00F94506" w:rsidRPr="00F94506" w:rsidRDefault="00F94506" w:rsidP="00F94506">
            <w:pPr>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sidRPr="00F94506">
              <w:rPr>
                <w:rFonts w:ascii="Calibri" w:hAnsi="Calibri"/>
                <w:i/>
                <w:iCs/>
                <w:color w:val="000000"/>
                <w:sz w:val="20"/>
                <w:szCs w:val="20"/>
              </w:rPr>
              <w:lastRenderedPageBreak/>
              <w:t xml:space="preserve">No specifically identified gap(s) </w:t>
            </w:r>
            <w:r w:rsidRPr="00F94506">
              <w:rPr>
                <w:rFonts w:ascii="Calibri" w:hAnsi="Calibri"/>
                <w:i/>
                <w:iCs/>
                <w:color w:val="000000"/>
                <w:sz w:val="20"/>
                <w:szCs w:val="20"/>
              </w:rPr>
              <w:lastRenderedPageBreak/>
              <w:t>correspond(s) to this Factor</w:t>
            </w:r>
          </w:p>
          <w:p w14:paraId="46E56D83" w14:textId="04C97302" w:rsidR="00C154A6" w:rsidRPr="00F94506" w:rsidRDefault="00C154A6">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tcPr>
          <w:p w14:paraId="0DEB9677" w14:textId="1C24C235" w:rsidR="00C154A6" w:rsidRPr="00F94506" w:rsidRDefault="00F94506">
            <w:pPr>
              <w:cnfStyle w:val="000000000000" w:firstRow="0" w:lastRow="0" w:firstColumn="0" w:lastColumn="0" w:oddVBand="0" w:evenVBand="0" w:oddHBand="0" w:evenHBand="0" w:firstRowFirstColumn="0" w:firstRowLastColumn="0" w:lastRowFirstColumn="0" w:lastRowLastColumn="0"/>
              <w:rPr>
                <w:sz w:val="20"/>
                <w:szCs w:val="20"/>
              </w:rPr>
            </w:pPr>
            <w:r w:rsidRPr="00F94506">
              <w:rPr>
                <w:sz w:val="20"/>
                <w:szCs w:val="20"/>
              </w:rPr>
              <w:lastRenderedPageBreak/>
              <w:t>1.3</w:t>
            </w:r>
          </w:p>
        </w:tc>
        <w:tc>
          <w:tcPr>
            <w:tcW w:w="0" w:type="auto"/>
            <w:shd w:val="clear" w:color="auto" w:fill="D9D9D9" w:themeFill="background1" w:themeFillShade="D9"/>
          </w:tcPr>
          <w:p w14:paraId="11D1B8F5"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347341C7"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6ED2A2A6"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r>
      <w:tr w:rsidR="007E14C9" w:rsidRPr="00DB3E82" w14:paraId="331DF9FB" w14:textId="77777777" w:rsidTr="00C339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74B3DC2" w14:textId="17EDD5B7" w:rsidR="00C154A6" w:rsidRPr="000B1DA7" w:rsidRDefault="00F94506">
            <w:pPr>
              <w:rPr>
                <w:sz w:val="20"/>
                <w:szCs w:val="20"/>
              </w:rPr>
            </w:pPr>
            <w:r w:rsidRPr="000B1DA7">
              <w:rPr>
                <w:sz w:val="20"/>
                <w:szCs w:val="20"/>
              </w:rPr>
              <w:t xml:space="preserve">Landowner Engagement: </w:t>
            </w:r>
            <w:r w:rsidRPr="000B1DA7">
              <w:rPr>
                <w:b w:val="0"/>
                <w:sz w:val="20"/>
                <w:szCs w:val="20"/>
              </w:rPr>
              <w:t>Dam owner understanding of the ancillary benefits of dam removal</w:t>
            </w:r>
          </w:p>
        </w:tc>
        <w:tc>
          <w:tcPr>
            <w:tcW w:w="0" w:type="auto"/>
          </w:tcPr>
          <w:p w14:paraId="7F521035" w14:textId="0DB425A8" w:rsidR="00C154A6" w:rsidRPr="000B1DA7" w:rsidRDefault="00F94506">
            <w:pPr>
              <w:cnfStyle w:val="000000100000" w:firstRow="0" w:lastRow="0" w:firstColumn="0" w:lastColumn="0" w:oddVBand="0" w:evenVBand="0" w:oddHBand="1" w:evenHBand="0" w:firstRowFirstColumn="0" w:firstRowLastColumn="0" w:lastRowFirstColumn="0" w:lastRowLastColumn="0"/>
              <w:rPr>
                <w:i/>
                <w:sz w:val="20"/>
                <w:szCs w:val="20"/>
              </w:rPr>
            </w:pPr>
            <w:r w:rsidRPr="000B1DA7">
              <w:rPr>
                <w:b/>
                <w:sz w:val="20"/>
                <w:szCs w:val="20"/>
              </w:rPr>
              <w:t>WP Action (1.2):</w:t>
            </w:r>
            <w:r w:rsidRPr="000B1DA7">
              <w:rPr>
                <w:i/>
                <w:sz w:val="20"/>
                <w:szCs w:val="20"/>
              </w:rPr>
              <w:t xml:space="preserve"> </w:t>
            </w:r>
            <w:r w:rsidRPr="000B1DA7">
              <w:rPr>
                <w:sz w:val="20"/>
                <w:szCs w:val="20"/>
              </w:rPr>
              <w:t>Continue outreach to dam owners on the benefits of dam removal through brochures and workshops.</w:t>
            </w:r>
          </w:p>
        </w:tc>
        <w:tc>
          <w:tcPr>
            <w:tcW w:w="0" w:type="auto"/>
          </w:tcPr>
          <w:p w14:paraId="482690B7" w14:textId="77777777" w:rsidR="00F94506" w:rsidRPr="000B1DA7" w:rsidRDefault="00F94506" w:rsidP="00F94506">
            <w:pPr>
              <w:cnfStyle w:val="000000100000" w:firstRow="0" w:lastRow="0" w:firstColumn="0" w:lastColumn="0" w:oddVBand="0" w:evenVBand="0" w:oddHBand="1" w:evenHBand="0" w:firstRowFirstColumn="0" w:firstRowLastColumn="0" w:lastRowFirstColumn="0" w:lastRowLastColumn="0"/>
              <w:rPr>
                <w:rFonts w:ascii="Calibri" w:hAnsi="Calibri"/>
                <w:i/>
                <w:iCs/>
                <w:color w:val="000000"/>
                <w:sz w:val="20"/>
                <w:szCs w:val="20"/>
              </w:rPr>
            </w:pPr>
            <w:r w:rsidRPr="000B1DA7">
              <w:rPr>
                <w:rFonts w:ascii="Calibri" w:hAnsi="Calibri"/>
                <w:i/>
                <w:iCs/>
                <w:color w:val="000000"/>
                <w:sz w:val="20"/>
                <w:szCs w:val="20"/>
              </w:rPr>
              <w:t>No specifically identified gap(s) correspond(s) to this Factor</w:t>
            </w:r>
          </w:p>
          <w:p w14:paraId="097AFCD0" w14:textId="66DAD1C2" w:rsidR="00C154A6" w:rsidRPr="000B1DA7" w:rsidRDefault="00C154A6">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37DA6D30" w14:textId="59F6D358" w:rsidR="00C154A6" w:rsidRPr="00DB3E82" w:rsidRDefault="00F94506">
            <w:pPr>
              <w:cnfStyle w:val="000000100000" w:firstRow="0" w:lastRow="0" w:firstColumn="0" w:lastColumn="0" w:oddVBand="0" w:evenVBand="0" w:oddHBand="1" w:evenHBand="0" w:firstRowFirstColumn="0" w:firstRowLastColumn="0" w:lastRowFirstColumn="0" w:lastRowLastColumn="0"/>
              <w:rPr>
                <w:sz w:val="20"/>
                <w:szCs w:val="20"/>
              </w:rPr>
            </w:pPr>
            <w:r>
              <w:t>1.2</w:t>
            </w:r>
          </w:p>
        </w:tc>
        <w:tc>
          <w:tcPr>
            <w:tcW w:w="0" w:type="auto"/>
            <w:shd w:val="clear" w:color="auto" w:fill="D9D9D9" w:themeFill="background1" w:themeFillShade="D9"/>
          </w:tcPr>
          <w:p w14:paraId="06C46051"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77DD3A3A"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4CA11BB8"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r>
      <w:tr w:rsidR="007E14C9" w:rsidRPr="00DB3E82" w14:paraId="71900E01" w14:textId="77777777" w:rsidTr="00C3397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D74CBF5" w14:textId="3A5BD1DE" w:rsidR="00F94506" w:rsidRPr="000B1DA7" w:rsidRDefault="00F94506" w:rsidP="00F94506">
            <w:pPr>
              <w:rPr>
                <w:sz w:val="20"/>
                <w:szCs w:val="20"/>
              </w:rPr>
            </w:pPr>
            <w:r w:rsidRPr="000B1DA7">
              <w:rPr>
                <w:sz w:val="20"/>
                <w:szCs w:val="20"/>
              </w:rPr>
              <w:t xml:space="preserve">Landowner Engagement: </w:t>
            </w:r>
            <w:r w:rsidRPr="000B1DA7">
              <w:rPr>
                <w:b w:val="0"/>
                <w:sz w:val="20"/>
                <w:szCs w:val="20"/>
              </w:rPr>
              <w:t>Dam owner permission to remove dams</w:t>
            </w:r>
          </w:p>
        </w:tc>
        <w:tc>
          <w:tcPr>
            <w:tcW w:w="0" w:type="auto"/>
          </w:tcPr>
          <w:p w14:paraId="6B6BC190" w14:textId="0821FD46" w:rsidR="00F94506" w:rsidRPr="000B1DA7" w:rsidRDefault="00F94506" w:rsidP="00F94506">
            <w:pPr>
              <w:cnfStyle w:val="000000000000" w:firstRow="0" w:lastRow="0" w:firstColumn="0" w:lastColumn="0" w:oddVBand="0" w:evenVBand="0" w:oddHBand="0" w:evenHBand="0" w:firstRowFirstColumn="0" w:firstRowLastColumn="0" w:lastRowFirstColumn="0" w:lastRowLastColumn="0"/>
              <w:rPr>
                <w:i/>
                <w:sz w:val="20"/>
                <w:szCs w:val="20"/>
              </w:rPr>
            </w:pPr>
            <w:r w:rsidRPr="000B1DA7">
              <w:rPr>
                <w:b/>
                <w:sz w:val="20"/>
                <w:szCs w:val="20"/>
              </w:rPr>
              <w:t>WP Action (1.2):</w:t>
            </w:r>
            <w:r w:rsidRPr="000B1DA7">
              <w:rPr>
                <w:i/>
                <w:sz w:val="20"/>
                <w:szCs w:val="20"/>
              </w:rPr>
              <w:t xml:space="preserve"> </w:t>
            </w:r>
            <w:r w:rsidRPr="000B1DA7">
              <w:rPr>
                <w:sz w:val="20"/>
                <w:szCs w:val="20"/>
              </w:rPr>
              <w:t>Continue outreach to dam owners on the benefits of dam removal through brochures and workshops.</w:t>
            </w:r>
          </w:p>
        </w:tc>
        <w:tc>
          <w:tcPr>
            <w:tcW w:w="0" w:type="auto"/>
          </w:tcPr>
          <w:p w14:paraId="00BC06EE" w14:textId="77777777" w:rsidR="00F94506" w:rsidRPr="000B1DA7" w:rsidRDefault="00F94506" w:rsidP="00F94506">
            <w:pPr>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20"/>
                <w:szCs w:val="20"/>
              </w:rPr>
            </w:pPr>
            <w:r w:rsidRPr="000B1DA7">
              <w:rPr>
                <w:rFonts w:ascii="Calibri" w:hAnsi="Calibri"/>
                <w:i/>
                <w:iCs/>
                <w:color w:val="000000"/>
                <w:sz w:val="20"/>
                <w:szCs w:val="20"/>
              </w:rPr>
              <w:t>No specifically identified gap(s) correspond(s) to this Factor</w:t>
            </w:r>
          </w:p>
          <w:p w14:paraId="19DED570" w14:textId="23E0CC2D" w:rsidR="00F94506" w:rsidRPr="000B1DA7" w:rsidRDefault="00F94506" w:rsidP="00F94506">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tcPr>
          <w:p w14:paraId="1CF6C947" w14:textId="1DCAB109" w:rsidR="00F94506" w:rsidRPr="00DB3E82" w:rsidRDefault="00F94506" w:rsidP="00F94506">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1.2</w:t>
            </w:r>
          </w:p>
        </w:tc>
        <w:tc>
          <w:tcPr>
            <w:tcW w:w="0" w:type="auto"/>
            <w:shd w:val="clear" w:color="auto" w:fill="D9D9D9" w:themeFill="background1" w:themeFillShade="D9"/>
          </w:tcPr>
          <w:p w14:paraId="144C31EF" w14:textId="77777777" w:rsidR="00F94506" w:rsidRPr="00DB3E82" w:rsidRDefault="00F94506" w:rsidP="00F9450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20094585" w14:textId="77777777" w:rsidR="00F94506" w:rsidRPr="00DB3E82" w:rsidRDefault="00F94506" w:rsidP="00F9450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5D851B40" w14:textId="77777777" w:rsidR="00F94506" w:rsidRPr="00DB3E82" w:rsidRDefault="00F94506" w:rsidP="00F94506">
            <w:pPr>
              <w:cnfStyle w:val="000000000000" w:firstRow="0" w:lastRow="0" w:firstColumn="0" w:lastColumn="0" w:oddVBand="0" w:evenVBand="0" w:oddHBand="0" w:evenHBand="0" w:firstRowFirstColumn="0" w:firstRowLastColumn="0" w:lastRowFirstColumn="0" w:lastRowLastColumn="0"/>
              <w:rPr>
                <w:sz w:val="20"/>
                <w:szCs w:val="20"/>
              </w:rPr>
            </w:pPr>
          </w:p>
        </w:tc>
      </w:tr>
      <w:tr w:rsidR="007E14C9" w:rsidRPr="00DB3E82" w14:paraId="5D1EFAC7" w14:textId="77777777" w:rsidTr="00C339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616414E" w14:textId="22CF5A47" w:rsidR="00C154A6" w:rsidRPr="000B1DA7" w:rsidRDefault="000D4172">
            <w:pPr>
              <w:rPr>
                <w:sz w:val="20"/>
                <w:szCs w:val="20"/>
              </w:rPr>
            </w:pPr>
            <w:r w:rsidRPr="000B1DA7">
              <w:rPr>
                <w:sz w:val="20"/>
                <w:szCs w:val="20"/>
              </w:rPr>
              <w:t xml:space="preserve">Use Conflict: Limited financial resources: </w:t>
            </w:r>
            <w:r w:rsidRPr="000B1DA7">
              <w:rPr>
                <w:b w:val="0"/>
                <w:sz w:val="20"/>
                <w:szCs w:val="20"/>
              </w:rPr>
              <w:t>With the average cost of stream barrier removal in Maryland, Pennsylvania, and Virginia hovering around $200,000, the Fish Passage Workgroup will need more than $20 million in project implementation funds in order to have a chance of meeting this Outcome.</w:t>
            </w:r>
          </w:p>
        </w:tc>
        <w:tc>
          <w:tcPr>
            <w:tcW w:w="0" w:type="auto"/>
          </w:tcPr>
          <w:p w14:paraId="286B54A3" w14:textId="68E58011" w:rsidR="00C154A6" w:rsidRPr="000B1DA7" w:rsidRDefault="000B1DA7" w:rsidP="000B1DA7">
            <w:pPr>
              <w:cnfStyle w:val="000000100000" w:firstRow="0" w:lastRow="0" w:firstColumn="0" w:lastColumn="0" w:oddVBand="0" w:evenVBand="0" w:oddHBand="1" w:evenHBand="0" w:firstRowFirstColumn="0" w:firstRowLastColumn="0" w:lastRowFirstColumn="0" w:lastRowLastColumn="0"/>
              <w:rPr>
                <w:sz w:val="20"/>
                <w:szCs w:val="20"/>
              </w:rPr>
            </w:pPr>
            <w:r w:rsidRPr="000B1DA7">
              <w:rPr>
                <w:b/>
                <w:sz w:val="20"/>
                <w:szCs w:val="20"/>
              </w:rPr>
              <w:t>WP Action (3.1):</w:t>
            </w:r>
            <w:r>
              <w:rPr>
                <w:sz w:val="20"/>
                <w:szCs w:val="20"/>
              </w:rPr>
              <w:t xml:space="preserve"> Prioritize culvert replacement </w:t>
            </w:r>
            <w:r w:rsidR="000D4172" w:rsidRPr="000B1DA7">
              <w:rPr>
                <w:sz w:val="20"/>
                <w:szCs w:val="20"/>
              </w:rPr>
              <w:t>projects to ensure strategic investment of public funds</w:t>
            </w:r>
            <w:r>
              <w:rPr>
                <w:sz w:val="20"/>
                <w:szCs w:val="20"/>
              </w:rPr>
              <w:t>; Continue using the Chesapeake Bay Fish Passage Tool to target high priority dam removals.</w:t>
            </w:r>
          </w:p>
        </w:tc>
        <w:tc>
          <w:tcPr>
            <w:tcW w:w="0" w:type="auto"/>
          </w:tcPr>
          <w:p w14:paraId="345A0A9E" w14:textId="47C7EDE6" w:rsidR="00C154A6" w:rsidRPr="000B1DA7" w:rsidRDefault="000B1DA7">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Culvert information on possibility is needed to assist in the prioritization</w:t>
            </w:r>
          </w:p>
        </w:tc>
        <w:tc>
          <w:tcPr>
            <w:tcW w:w="0" w:type="auto"/>
          </w:tcPr>
          <w:p w14:paraId="03293129" w14:textId="1FB925FB" w:rsidR="00C154A6" w:rsidRPr="000B1DA7" w:rsidRDefault="000B1DA7">
            <w:pPr>
              <w:cnfStyle w:val="000000100000" w:firstRow="0" w:lastRow="0" w:firstColumn="0" w:lastColumn="0" w:oddVBand="0" w:evenVBand="0" w:oddHBand="1" w:evenHBand="0" w:firstRowFirstColumn="0" w:firstRowLastColumn="0" w:lastRowFirstColumn="0" w:lastRowLastColumn="0"/>
              <w:rPr>
                <w:b/>
                <w:sz w:val="20"/>
                <w:szCs w:val="20"/>
              </w:rPr>
            </w:pPr>
            <w:r w:rsidRPr="000B1DA7">
              <w:rPr>
                <w:b/>
                <w:sz w:val="20"/>
                <w:szCs w:val="20"/>
              </w:rPr>
              <w:t>3.1</w:t>
            </w:r>
          </w:p>
        </w:tc>
        <w:tc>
          <w:tcPr>
            <w:tcW w:w="0" w:type="auto"/>
            <w:shd w:val="clear" w:color="auto" w:fill="D9D9D9" w:themeFill="background1" w:themeFillShade="D9"/>
          </w:tcPr>
          <w:p w14:paraId="3DE7BF45"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648FF6E5"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69C44963"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r>
      <w:tr w:rsidR="007E14C9" w:rsidRPr="00DB3E82" w14:paraId="7E577B7D" w14:textId="77777777" w:rsidTr="00C3397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2847667" w14:textId="323E3115" w:rsidR="00C154A6" w:rsidRPr="00B56446" w:rsidRDefault="000B1DA7">
            <w:pPr>
              <w:rPr>
                <w:b w:val="0"/>
                <w:bCs w:val="0"/>
                <w:sz w:val="20"/>
                <w:szCs w:val="20"/>
              </w:rPr>
            </w:pPr>
            <w:r w:rsidRPr="00901C19">
              <w:rPr>
                <w:bCs w:val="0"/>
                <w:sz w:val="20"/>
                <w:szCs w:val="20"/>
              </w:rPr>
              <w:t>Habitat Condition</w:t>
            </w:r>
            <w:r>
              <w:rPr>
                <w:b w:val="0"/>
                <w:bCs w:val="0"/>
                <w:sz w:val="20"/>
                <w:szCs w:val="20"/>
              </w:rPr>
              <w:t>: Populations of targeted fish species-particularly river herring, shad and American eel-have declined nationwide</w:t>
            </w:r>
          </w:p>
        </w:tc>
        <w:tc>
          <w:tcPr>
            <w:tcW w:w="0" w:type="auto"/>
          </w:tcPr>
          <w:p w14:paraId="37AEC278" w14:textId="0E037D86" w:rsidR="00C154A6" w:rsidRPr="0039449C" w:rsidRDefault="007E14C9" w:rsidP="007E14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There are m</w:t>
            </w:r>
            <w:r w:rsidR="000B1DA7">
              <w:rPr>
                <w:sz w:val="20"/>
                <w:szCs w:val="20"/>
              </w:rPr>
              <w:t xml:space="preserve">any reasons for </w:t>
            </w:r>
            <w:r>
              <w:rPr>
                <w:sz w:val="20"/>
                <w:szCs w:val="20"/>
              </w:rPr>
              <w:t>declining</w:t>
            </w:r>
            <w:r w:rsidR="00E065CB">
              <w:rPr>
                <w:sz w:val="20"/>
                <w:szCs w:val="20"/>
              </w:rPr>
              <w:t xml:space="preserve"> populations</w:t>
            </w:r>
            <w:r>
              <w:rPr>
                <w:sz w:val="20"/>
                <w:szCs w:val="20"/>
              </w:rPr>
              <w:t xml:space="preserve"> i</w:t>
            </w:r>
            <w:r w:rsidR="00E065CB">
              <w:rPr>
                <w:sz w:val="20"/>
                <w:szCs w:val="20"/>
              </w:rPr>
              <w:t xml:space="preserve">ncluding habitat conditions, </w:t>
            </w:r>
            <w:bookmarkStart w:id="0" w:name="_GoBack"/>
            <w:bookmarkEnd w:id="0"/>
            <w:r>
              <w:rPr>
                <w:sz w:val="20"/>
                <w:szCs w:val="20"/>
              </w:rPr>
              <w:t xml:space="preserve">water quality, bycatch, climate change including possible changes in migratory patterns and spawning areas, overfishing, and others.  The workgroup does not see these factors directly influencing whether the mileage goal outcome is met but instead as factors influencing the overall recovery of the target species.  As </w:t>
            </w:r>
            <w:r>
              <w:rPr>
                <w:sz w:val="20"/>
                <w:szCs w:val="20"/>
              </w:rPr>
              <w:lastRenderedPageBreak/>
              <w:t xml:space="preserve">such, no work plan action has been identified. </w:t>
            </w:r>
            <w:r w:rsidR="000B1DA7">
              <w:rPr>
                <w:sz w:val="20"/>
                <w:szCs w:val="20"/>
              </w:rPr>
              <w:t xml:space="preserve"> </w:t>
            </w:r>
          </w:p>
        </w:tc>
        <w:tc>
          <w:tcPr>
            <w:tcW w:w="0" w:type="auto"/>
          </w:tcPr>
          <w:p w14:paraId="1B52B23E" w14:textId="64EE8295" w:rsidR="00C154A6" w:rsidRPr="00560F13" w:rsidRDefault="007E14C9" w:rsidP="00560F13">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lastRenderedPageBreak/>
              <w:t>Information related to bycatch and possible changes due to climate changes have not been well documented.</w:t>
            </w:r>
          </w:p>
        </w:tc>
        <w:tc>
          <w:tcPr>
            <w:tcW w:w="0" w:type="auto"/>
          </w:tcPr>
          <w:p w14:paraId="7DB2E78F" w14:textId="4EDA7E74" w:rsidR="00C154A6" w:rsidRPr="00B56446"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56E9BFC1"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7845A741"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7DCBE81F"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r>
      <w:tr w:rsidR="007E14C9" w:rsidRPr="00DB3E82" w14:paraId="72669D4F" w14:textId="77777777" w:rsidTr="00C339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3F1AF7C" w14:textId="77777777" w:rsidR="00F94506" w:rsidRDefault="00F94506">
            <w:pPr>
              <w:rPr>
                <w:sz w:val="20"/>
                <w:szCs w:val="20"/>
              </w:rPr>
            </w:pPr>
          </w:p>
        </w:tc>
        <w:tc>
          <w:tcPr>
            <w:tcW w:w="0" w:type="auto"/>
          </w:tcPr>
          <w:p w14:paraId="19E61E5C" w14:textId="77777777" w:rsidR="00F94506" w:rsidRDefault="00F94506" w:rsidP="003037DF">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2C278212" w14:textId="77777777" w:rsidR="00F94506" w:rsidRDefault="00F94506" w:rsidP="00560F13">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02B5AD6E" w14:textId="77777777" w:rsidR="00F94506" w:rsidRDefault="00F94506">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D9D9D9" w:themeFill="background1" w:themeFillShade="D9"/>
          </w:tcPr>
          <w:p w14:paraId="0ECB13FB" w14:textId="77777777" w:rsidR="00F94506" w:rsidRPr="00DB3E82" w:rsidRDefault="00F9450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1FCA2E73" w14:textId="77777777" w:rsidR="00F94506" w:rsidRPr="00DB3E82" w:rsidRDefault="00F9450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2A64A6FA" w14:textId="77777777" w:rsidR="00F94506" w:rsidRPr="00DB3E82" w:rsidRDefault="00F94506">
            <w:pPr>
              <w:cnfStyle w:val="000000100000" w:firstRow="0" w:lastRow="0" w:firstColumn="0" w:lastColumn="0" w:oddVBand="0" w:evenVBand="0" w:oddHBand="1" w:evenHBand="0" w:firstRowFirstColumn="0" w:firstRowLastColumn="0" w:lastRowFirstColumn="0" w:lastRowLastColumn="0"/>
              <w:rPr>
                <w:sz w:val="20"/>
                <w:szCs w:val="20"/>
              </w:rPr>
            </w:pPr>
          </w:p>
        </w:tc>
      </w:tr>
      <w:tr w:rsidR="007E14C9" w:rsidRPr="00DB3E82" w14:paraId="76029A66" w14:textId="77777777" w:rsidTr="00C3397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FABFC59" w14:textId="77777777" w:rsidR="00F94506" w:rsidRDefault="00F94506">
            <w:pPr>
              <w:rPr>
                <w:sz w:val="20"/>
                <w:szCs w:val="20"/>
              </w:rPr>
            </w:pPr>
          </w:p>
        </w:tc>
        <w:tc>
          <w:tcPr>
            <w:tcW w:w="0" w:type="auto"/>
          </w:tcPr>
          <w:p w14:paraId="63FCC4A3" w14:textId="77777777" w:rsidR="00F94506" w:rsidRDefault="00F94506" w:rsidP="003037DF">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7310870A" w14:textId="77777777" w:rsidR="00F94506" w:rsidRDefault="00F94506" w:rsidP="00560F13">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tcPr>
          <w:p w14:paraId="5C198510" w14:textId="77777777" w:rsidR="00F94506" w:rsidRDefault="00F94506">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D9D9D9" w:themeFill="background1" w:themeFillShade="D9"/>
          </w:tcPr>
          <w:p w14:paraId="5A12AF85" w14:textId="77777777" w:rsidR="00F94506" w:rsidRPr="00DB3E82" w:rsidRDefault="00F9450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19E4730F" w14:textId="77777777" w:rsidR="00F94506" w:rsidRPr="00DB3E82" w:rsidRDefault="00F9450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6C1ED5F2" w14:textId="77777777" w:rsidR="00F94506" w:rsidRPr="00DB3E82" w:rsidRDefault="00F94506">
            <w:pPr>
              <w:cnfStyle w:val="000000000000" w:firstRow="0" w:lastRow="0" w:firstColumn="0" w:lastColumn="0" w:oddVBand="0" w:evenVBand="0" w:oddHBand="0" w:evenHBand="0" w:firstRowFirstColumn="0" w:firstRowLastColumn="0" w:lastRowFirstColumn="0" w:lastRowLastColumn="0"/>
              <w:rPr>
                <w:sz w:val="20"/>
                <w:szCs w:val="20"/>
              </w:rPr>
            </w:pPr>
          </w:p>
        </w:tc>
      </w:tr>
    </w:tbl>
    <w:p w14:paraId="6FEC005E" w14:textId="2B77EA1F" w:rsidR="00876541" w:rsidRDefault="00876541" w:rsidP="00AE133D"/>
    <w:tbl>
      <w:tblPr>
        <w:tblStyle w:val="GridTable4-Accent5"/>
        <w:tblW w:w="14354" w:type="dxa"/>
        <w:tblLook w:val="04A0" w:firstRow="1" w:lastRow="0" w:firstColumn="1" w:lastColumn="0" w:noHBand="0" w:noVBand="1"/>
      </w:tblPr>
      <w:tblGrid>
        <w:gridCol w:w="960"/>
        <w:gridCol w:w="3498"/>
        <w:gridCol w:w="4539"/>
        <w:gridCol w:w="1797"/>
        <w:gridCol w:w="1601"/>
        <w:gridCol w:w="1959"/>
      </w:tblGrid>
      <w:tr w:rsidR="002B2FA1" w14:paraId="26B693B8" w14:textId="77777777" w:rsidTr="26CF01F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60" w:type="dxa"/>
          </w:tcPr>
          <w:p w14:paraId="0BB202FE" w14:textId="77777777" w:rsidR="002B2FA1" w:rsidRDefault="002B2FA1" w:rsidP="006C112C">
            <w:pPr>
              <w:spacing w:line="276" w:lineRule="auto"/>
              <w:jc w:val="center"/>
              <w:rPr>
                <w:sz w:val="28"/>
                <w:szCs w:val="28"/>
              </w:rPr>
            </w:pPr>
          </w:p>
        </w:tc>
        <w:tc>
          <w:tcPr>
            <w:tcW w:w="13394" w:type="dxa"/>
            <w:gridSpan w:val="5"/>
          </w:tcPr>
          <w:p w14:paraId="28EE793B" w14:textId="20F90142" w:rsidR="002B2FA1" w:rsidRPr="00BF3A50" w:rsidRDefault="002B2FA1" w:rsidP="006C112C">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WORK PLAN </w:t>
            </w:r>
            <w:r w:rsidRPr="00BF3A50">
              <w:rPr>
                <w:sz w:val="28"/>
                <w:szCs w:val="28"/>
              </w:rPr>
              <w:t>ACTIONS</w:t>
            </w:r>
          </w:p>
        </w:tc>
      </w:tr>
      <w:tr w:rsidR="006A7D84" w14:paraId="19E57159" w14:textId="77777777" w:rsidTr="26CF01F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8EAADB" w:themeFill="accent5" w:themeFillTint="99"/>
          </w:tcPr>
          <w:p w14:paraId="653769DF" w14:textId="03126935" w:rsidR="006A7D84" w:rsidRPr="00F4123D" w:rsidRDefault="006A7D84" w:rsidP="00B324B5">
            <w:pPr>
              <w:pStyle w:val="NoSpacing"/>
              <w:jc w:val="right"/>
              <w:rPr>
                <w:b w:val="0"/>
              </w:rPr>
            </w:pPr>
            <w:r w:rsidRPr="00F4123D">
              <w:rPr>
                <w:color w:val="538135" w:themeColor="accent6" w:themeShade="BF"/>
              </w:rPr>
              <w:t>Green</w:t>
            </w:r>
            <w:r w:rsidRPr="00653E0D">
              <w:rPr>
                <w:b w:val="0"/>
              </w:rPr>
              <w:t xml:space="preserve"> </w:t>
            </w:r>
            <w:r>
              <w:rPr>
                <w:b w:val="0"/>
              </w:rPr>
              <w:t>-</w:t>
            </w:r>
            <w:r w:rsidRPr="00F4123D">
              <w:rPr>
                <w:b w:val="0"/>
              </w:rPr>
              <w:t xml:space="preserve"> action has been completed </w:t>
            </w:r>
            <w:r w:rsidRPr="00653E0D">
              <w:rPr>
                <w:b w:val="0"/>
              </w:rPr>
              <w:t>or is moving forward as planned</w:t>
            </w:r>
            <w:r>
              <w:rPr>
                <w:b w:val="0"/>
              </w:rPr>
              <w:t xml:space="preserve">      </w:t>
            </w:r>
            <w:r>
              <w:rPr>
                <w:color w:val="FFD966" w:themeColor="accent4" w:themeTint="99"/>
              </w:rPr>
              <w:t>Y</w:t>
            </w:r>
            <w:r w:rsidRPr="00653E0D">
              <w:rPr>
                <w:color w:val="FFD966" w:themeColor="accent4" w:themeTint="99"/>
              </w:rPr>
              <w:t>ellow</w:t>
            </w:r>
            <w:r w:rsidRPr="00F4123D">
              <w:rPr>
                <w:b w:val="0"/>
              </w:rPr>
              <w:t xml:space="preserve"> </w:t>
            </w:r>
            <w:r>
              <w:rPr>
                <w:b w:val="0"/>
              </w:rPr>
              <w:t xml:space="preserve">- </w:t>
            </w:r>
            <w:r w:rsidRPr="00F4123D">
              <w:rPr>
                <w:b w:val="0"/>
              </w:rPr>
              <w:t xml:space="preserve">action has encountered minor </w:t>
            </w:r>
            <w:r>
              <w:rPr>
                <w:b w:val="0"/>
              </w:rPr>
              <w:t xml:space="preserve">obstacles       </w:t>
            </w:r>
            <w:r>
              <w:rPr>
                <w:color w:val="FF2600"/>
              </w:rPr>
              <w:t>R</w:t>
            </w:r>
            <w:r w:rsidRPr="00653E0D">
              <w:rPr>
                <w:color w:val="FF2600"/>
              </w:rPr>
              <w:t>ed</w:t>
            </w:r>
            <w:r w:rsidRPr="00F4123D">
              <w:rPr>
                <w:b w:val="0"/>
              </w:rPr>
              <w:t xml:space="preserve"> </w:t>
            </w:r>
            <w:r>
              <w:rPr>
                <w:b w:val="0"/>
              </w:rPr>
              <w:t>-</w:t>
            </w:r>
            <w:r w:rsidRPr="00F4123D">
              <w:rPr>
                <w:b w:val="0"/>
              </w:rPr>
              <w:t xml:space="preserve"> action has not been taken or has encountered a serious barrier</w:t>
            </w:r>
          </w:p>
        </w:tc>
      </w:tr>
      <w:tr w:rsidR="00FA4265" w14:paraId="7DE18902" w14:textId="77777777" w:rsidTr="26CF01FA">
        <w:trPr>
          <w:trHeight w:val="340"/>
        </w:trPr>
        <w:tc>
          <w:tcPr>
            <w:cnfStyle w:val="001000000000" w:firstRow="0" w:lastRow="0" w:firstColumn="1" w:lastColumn="0" w:oddVBand="0" w:evenVBand="0" w:oddHBand="0" w:evenHBand="0" w:firstRowFirstColumn="0" w:firstRowLastColumn="0" w:lastRowFirstColumn="0" w:lastRowLastColumn="0"/>
            <w:tcW w:w="960" w:type="dxa"/>
            <w:tcBorders>
              <w:top w:val="single" w:sz="8" w:space="0" w:color="4472C4" w:themeColor="accent5"/>
            </w:tcBorders>
            <w:shd w:val="clear" w:color="auto" w:fill="FFFFFF" w:themeFill="background1"/>
            <w:vAlign w:val="center"/>
          </w:tcPr>
          <w:p w14:paraId="625E18E2" w14:textId="44A3C336" w:rsidR="002B2FA1" w:rsidRPr="009B25D4" w:rsidRDefault="26CF01FA" w:rsidP="00EF6086">
            <w:pPr>
              <w:spacing w:line="276" w:lineRule="auto"/>
            </w:pPr>
            <w:bookmarkStart w:id="1" w:name="_Management_Approach_1:"/>
            <w:bookmarkEnd w:id="1"/>
            <w:r>
              <w:t>Action #</w:t>
            </w:r>
          </w:p>
        </w:tc>
        <w:tc>
          <w:tcPr>
            <w:tcW w:w="3510" w:type="dxa"/>
            <w:tcBorders>
              <w:top w:val="single" w:sz="8" w:space="0" w:color="4472C4" w:themeColor="accent5"/>
            </w:tcBorders>
            <w:shd w:val="clear" w:color="auto" w:fill="FFFFFF" w:themeFill="background1"/>
            <w:vAlign w:val="center"/>
          </w:tcPr>
          <w:p w14:paraId="1A5F3F64" w14:textId="77777777" w:rsidR="002B2FA1" w:rsidRPr="00AD4C0D" w:rsidRDefault="002B2FA1" w:rsidP="00EF6086">
            <w:pPr>
              <w:spacing w:line="276" w:lineRule="auto"/>
              <w:cnfStyle w:val="000000000000" w:firstRow="0" w:lastRow="0" w:firstColumn="0" w:lastColumn="0" w:oddVBand="0" w:evenVBand="0" w:oddHBand="0" w:evenHBand="0" w:firstRowFirstColumn="0" w:firstRowLastColumn="0" w:lastRowFirstColumn="0" w:lastRowLastColumn="0"/>
              <w:rPr>
                <w:b/>
              </w:rPr>
            </w:pPr>
            <w:r w:rsidRPr="00AD4C0D">
              <w:rPr>
                <w:b/>
              </w:rPr>
              <w:t>Description</w:t>
            </w:r>
          </w:p>
        </w:tc>
        <w:tc>
          <w:tcPr>
            <w:tcW w:w="4560" w:type="dxa"/>
            <w:tcBorders>
              <w:top w:val="single" w:sz="8" w:space="0" w:color="4472C4" w:themeColor="accent5"/>
            </w:tcBorders>
            <w:shd w:val="clear" w:color="auto" w:fill="FFFFFF" w:themeFill="background1"/>
            <w:vAlign w:val="center"/>
          </w:tcPr>
          <w:p w14:paraId="44380BA7" w14:textId="77777777" w:rsidR="002B2FA1" w:rsidRPr="00AD4C0D" w:rsidRDefault="002B2FA1" w:rsidP="00AD4C0D">
            <w:pPr>
              <w:spacing w:line="276" w:lineRule="auto"/>
              <w:cnfStyle w:val="000000000000" w:firstRow="0" w:lastRow="0" w:firstColumn="0" w:lastColumn="0" w:oddVBand="0" w:evenVBand="0" w:oddHBand="0" w:evenHBand="0" w:firstRowFirstColumn="0" w:firstRowLastColumn="0" w:lastRowFirstColumn="0" w:lastRowLastColumn="0"/>
              <w:rPr>
                <w:b/>
              </w:rPr>
            </w:pPr>
            <w:r w:rsidRPr="00AD4C0D">
              <w:rPr>
                <w:b/>
              </w:rPr>
              <w:t>Performance Target(s)</w:t>
            </w:r>
          </w:p>
        </w:tc>
        <w:tc>
          <w:tcPr>
            <w:tcW w:w="1800" w:type="dxa"/>
            <w:tcBorders>
              <w:top w:val="single" w:sz="8" w:space="0" w:color="4472C4" w:themeColor="accent5"/>
            </w:tcBorders>
            <w:shd w:val="clear" w:color="auto" w:fill="FFFFFF" w:themeFill="background1"/>
          </w:tcPr>
          <w:p w14:paraId="133191B5" w14:textId="43A119EC" w:rsidR="002B2FA1" w:rsidRPr="00B37EB2" w:rsidRDefault="002B2FA1" w:rsidP="002B2FA1">
            <w:pPr>
              <w:spacing w:line="276" w:lineRule="auto"/>
              <w:cnfStyle w:val="000000000000" w:firstRow="0" w:lastRow="0" w:firstColumn="0" w:lastColumn="0" w:oddVBand="0" w:evenVBand="0" w:oddHBand="0" w:evenHBand="0" w:firstRowFirstColumn="0" w:firstRowLastColumn="0" w:lastRowFirstColumn="0" w:lastRowLastColumn="0"/>
              <w:rPr>
                <w:b/>
              </w:rPr>
            </w:pPr>
            <w:r w:rsidRPr="00B37EB2">
              <w:rPr>
                <w:b/>
                <w:szCs w:val="24"/>
              </w:rPr>
              <w:t>Responsible Party</w:t>
            </w:r>
            <w:r>
              <w:rPr>
                <w:b/>
                <w:szCs w:val="24"/>
              </w:rPr>
              <w:t xml:space="preserve"> (or Parties)</w:t>
            </w:r>
          </w:p>
        </w:tc>
        <w:tc>
          <w:tcPr>
            <w:tcW w:w="1560" w:type="dxa"/>
            <w:tcBorders>
              <w:top w:val="single" w:sz="8" w:space="0" w:color="4472C4" w:themeColor="accent5"/>
            </w:tcBorders>
            <w:shd w:val="clear" w:color="auto" w:fill="FFFFFF" w:themeFill="background1"/>
          </w:tcPr>
          <w:p w14:paraId="1AA8EC7C" w14:textId="64E3FC83" w:rsidR="002B2FA1" w:rsidRDefault="002B2FA1" w:rsidP="00AD4C0D">
            <w:pPr>
              <w:spacing w:line="276" w:lineRule="auto"/>
              <w:cnfStyle w:val="000000000000" w:firstRow="0" w:lastRow="0" w:firstColumn="0" w:lastColumn="0" w:oddVBand="0" w:evenVBand="0" w:oddHBand="0" w:evenHBand="0" w:firstRowFirstColumn="0" w:firstRowLastColumn="0" w:lastRowFirstColumn="0" w:lastRowLastColumn="0"/>
              <w:rPr>
                <w:b/>
              </w:rPr>
            </w:pPr>
            <w:r w:rsidRPr="00B37EB2">
              <w:rPr>
                <w:b/>
                <w:szCs w:val="24"/>
              </w:rPr>
              <w:t>Geographic Location</w:t>
            </w:r>
          </w:p>
        </w:tc>
        <w:tc>
          <w:tcPr>
            <w:tcW w:w="1964" w:type="dxa"/>
            <w:tcBorders>
              <w:top w:val="single" w:sz="8" w:space="0" w:color="4472C4" w:themeColor="accent5"/>
            </w:tcBorders>
            <w:shd w:val="clear" w:color="auto" w:fill="FFFFFF" w:themeFill="background1"/>
          </w:tcPr>
          <w:p w14:paraId="2F5E0973" w14:textId="6D4F6A2B" w:rsidR="002B2FA1" w:rsidRPr="00AD4C0D" w:rsidRDefault="002B2FA1" w:rsidP="00AD4C0D">
            <w:pPr>
              <w:spacing w:line="276" w:lineRule="auto"/>
              <w:cnfStyle w:val="000000000000" w:firstRow="0" w:lastRow="0" w:firstColumn="0" w:lastColumn="0" w:oddVBand="0" w:evenVBand="0" w:oddHBand="0" w:evenHBand="0" w:firstRowFirstColumn="0" w:firstRowLastColumn="0" w:lastRowFirstColumn="0" w:lastRowLastColumn="0"/>
              <w:rPr>
                <w:b/>
              </w:rPr>
            </w:pPr>
            <w:r>
              <w:rPr>
                <w:b/>
              </w:rPr>
              <w:t>Expected Timeline</w:t>
            </w:r>
          </w:p>
        </w:tc>
      </w:tr>
      <w:tr w:rsidR="002B2FA1" w14:paraId="72008FC0" w14:textId="77777777" w:rsidTr="26CF01F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single" w:sz="8" w:space="0" w:color="4472C4" w:themeColor="accent5"/>
            </w:tcBorders>
            <w:shd w:val="clear" w:color="auto" w:fill="auto"/>
          </w:tcPr>
          <w:p w14:paraId="2CDFC202" w14:textId="1A164773" w:rsidR="002B2FA1" w:rsidRDefault="002B2FA1" w:rsidP="006D63DC">
            <w:pPr>
              <w:pStyle w:val="Heading1"/>
              <w:spacing w:before="0"/>
              <w:outlineLvl w:val="0"/>
            </w:pPr>
            <w:r>
              <w:t>Management Approach</w:t>
            </w:r>
            <w:r w:rsidR="00B67FBE">
              <w:t xml:space="preserve"> 1</w:t>
            </w:r>
            <w:r>
              <w:t>:</w:t>
            </w:r>
            <w:r w:rsidR="005229B1">
              <w:t xml:space="preserve"> </w:t>
            </w:r>
            <w:r w:rsidR="005229B1" w:rsidRPr="005229B1">
              <w:t>During the period 2011-2025, restore historical fish migratory routes by opening 1,000 additional stream miles, with restoration success indicated by the presence of Alewife, Blueback Herring, American Shad, Hickory Shad, American Eel and/or Brook Trout.</w:t>
            </w:r>
          </w:p>
        </w:tc>
      </w:tr>
      <w:tr w:rsidR="00FA4265" w14:paraId="1A77282B" w14:textId="77777777" w:rsidTr="26CF01FA">
        <w:trPr>
          <w:trHeight w:val="293"/>
        </w:trPr>
        <w:tc>
          <w:tcPr>
            <w:cnfStyle w:val="001000000000" w:firstRow="0" w:lastRow="0" w:firstColumn="1" w:lastColumn="0" w:oddVBand="0" w:evenVBand="0" w:oddHBand="0" w:evenHBand="0" w:firstRowFirstColumn="0" w:firstRowLastColumn="0" w:lastRowFirstColumn="0" w:lastRowLastColumn="0"/>
            <w:tcW w:w="960" w:type="dxa"/>
            <w:tcBorders>
              <w:top w:val="single" w:sz="8" w:space="0" w:color="4472C4" w:themeColor="accent5"/>
            </w:tcBorders>
            <w:shd w:val="clear" w:color="auto" w:fill="FFFFFF" w:themeFill="background1"/>
            <w:vAlign w:val="center"/>
          </w:tcPr>
          <w:p w14:paraId="7CDF5AF6" w14:textId="46B4B260" w:rsidR="002B2FA1" w:rsidRPr="009B25D4" w:rsidRDefault="26CF01FA" w:rsidP="00B1086D">
            <w:pPr>
              <w:spacing w:line="276" w:lineRule="auto"/>
            </w:pPr>
            <w:r>
              <w:t>1.1</w:t>
            </w:r>
          </w:p>
        </w:tc>
        <w:tc>
          <w:tcPr>
            <w:tcW w:w="3510" w:type="dxa"/>
            <w:tcBorders>
              <w:top w:val="single" w:sz="8" w:space="0" w:color="4472C4" w:themeColor="accent5"/>
            </w:tcBorders>
            <w:shd w:val="clear" w:color="auto" w:fill="FFFFFF" w:themeFill="background1"/>
            <w:vAlign w:val="center"/>
          </w:tcPr>
          <w:p w14:paraId="4B1B3185" w14:textId="24072004" w:rsidR="002B2FA1" w:rsidRDefault="00BE4084" w:rsidP="00B1086D">
            <w:pPr>
              <w:spacing w:line="276" w:lineRule="auto"/>
              <w:cnfStyle w:val="000000000000" w:firstRow="0" w:lastRow="0" w:firstColumn="0" w:lastColumn="0" w:oddVBand="0" w:evenVBand="0" w:oddHBand="0" w:evenHBand="0" w:firstRowFirstColumn="0" w:firstRowLastColumn="0" w:lastRowFirstColumn="0" w:lastRowLastColumn="0"/>
            </w:pPr>
            <w:r w:rsidRPr="00901C19">
              <w:rPr>
                <w:color w:val="00B050"/>
              </w:rPr>
              <w:t>Continue dam removal activities in the Chesapeake Bay</w:t>
            </w:r>
          </w:p>
        </w:tc>
        <w:tc>
          <w:tcPr>
            <w:tcW w:w="4560" w:type="dxa"/>
            <w:tcBorders>
              <w:top w:val="single" w:sz="8" w:space="0" w:color="4472C4" w:themeColor="accent5"/>
            </w:tcBorders>
            <w:shd w:val="clear" w:color="auto" w:fill="FFFFFF" w:themeFill="background1"/>
          </w:tcPr>
          <w:p w14:paraId="60FB3855" w14:textId="40F52353" w:rsidR="002B2FA1" w:rsidRDefault="00BE4084" w:rsidP="7C69989A">
            <w:pPr>
              <w:spacing w:line="276" w:lineRule="auto"/>
              <w:cnfStyle w:val="000000000000" w:firstRow="0" w:lastRow="0" w:firstColumn="0" w:lastColumn="0" w:oddVBand="0" w:evenVBand="0" w:oddHBand="0" w:evenHBand="0" w:firstRowFirstColumn="0" w:firstRowLastColumn="0" w:lastRowFirstColumn="0" w:lastRowLastColumn="0"/>
            </w:pPr>
            <w:r w:rsidRPr="00BE4084">
              <w:t>Complete Removal of the Bloede Dam.</w:t>
            </w:r>
          </w:p>
        </w:tc>
        <w:tc>
          <w:tcPr>
            <w:tcW w:w="1800" w:type="dxa"/>
            <w:tcBorders>
              <w:top w:val="single" w:sz="8" w:space="0" w:color="4472C4" w:themeColor="accent5"/>
            </w:tcBorders>
            <w:shd w:val="clear" w:color="auto" w:fill="FFFFFF" w:themeFill="background1"/>
          </w:tcPr>
          <w:p w14:paraId="29E5BA74" w14:textId="1B6FB55E" w:rsidR="002B2FA1" w:rsidRDefault="00636AF9" w:rsidP="00B1086D">
            <w:pPr>
              <w:spacing w:line="276" w:lineRule="auto"/>
              <w:cnfStyle w:val="000000000000" w:firstRow="0" w:lastRow="0" w:firstColumn="0" w:lastColumn="0" w:oddVBand="0" w:evenVBand="0" w:oddHBand="0" w:evenHBand="0" w:firstRowFirstColumn="0" w:firstRowLastColumn="0" w:lastRowFirstColumn="0" w:lastRowLastColumn="0"/>
            </w:pPr>
            <w:r w:rsidRPr="00636AF9">
              <w:t>MD DNR, NOAA, USFWS, American Rivers</w:t>
            </w:r>
          </w:p>
        </w:tc>
        <w:tc>
          <w:tcPr>
            <w:tcW w:w="1560" w:type="dxa"/>
            <w:tcBorders>
              <w:top w:val="single" w:sz="8" w:space="0" w:color="4472C4" w:themeColor="accent5"/>
            </w:tcBorders>
            <w:shd w:val="clear" w:color="auto" w:fill="FFFFFF" w:themeFill="background1"/>
          </w:tcPr>
          <w:p w14:paraId="08E0D8DD" w14:textId="4A794D21" w:rsidR="002B2FA1" w:rsidRDefault="00636AF9" w:rsidP="7C69989A">
            <w:pPr>
              <w:spacing w:line="276" w:lineRule="auto"/>
              <w:cnfStyle w:val="000000000000" w:firstRow="0" w:lastRow="0" w:firstColumn="0" w:lastColumn="0" w:oddVBand="0" w:evenVBand="0" w:oddHBand="0" w:evenHBand="0" w:firstRowFirstColumn="0" w:firstRowLastColumn="0" w:lastRowFirstColumn="0" w:lastRowLastColumn="0"/>
            </w:pPr>
            <w:r w:rsidRPr="00636AF9">
              <w:t>Ilchester, MD</w:t>
            </w:r>
          </w:p>
        </w:tc>
        <w:tc>
          <w:tcPr>
            <w:tcW w:w="1964" w:type="dxa"/>
            <w:tcBorders>
              <w:top w:val="single" w:sz="8" w:space="0" w:color="4472C4" w:themeColor="accent5"/>
            </w:tcBorders>
            <w:shd w:val="clear" w:color="auto" w:fill="FFFFFF" w:themeFill="background1"/>
          </w:tcPr>
          <w:p w14:paraId="0C415D0C" w14:textId="57AF1FF2" w:rsidR="002B2FA1" w:rsidRDefault="00636AF9" w:rsidP="7C69989A">
            <w:pPr>
              <w:spacing w:line="276" w:lineRule="auto"/>
              <w:cnfStyle w:val="000000000000" w:firstRow="0" w:lastRow="0" w:firstColumn="0" w:lastColumn="0" w:oddVBand="0" w:evenVBand="0" w:oddHBand="0" w:evenHBand="0" w:firstRowFirstColumn="0" w:firstRowLastColumn="0" w:lastRowFirstColumn="0" w:lastRowLastColumn="0"/>
            </w:pPr>
            <w:r>
              <w:t>May-19</w:t>
            </w:r>
          </w:p>
        </w:tc>
      </w:tr>
      <w:tr w:rsidR="00FA4265" w14:paraId="10CA0303" w14:textId="77777777" w:rsidTr="26CF01F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vAlign w:val="center"/>
          </w:tcPr>
          <w:p w14:paraId="18B5D286" w14:textId="55A96893" w:rsidR="002B2FA1" w:rsidRDefault="26CF01FA" w:rsidP="7C69989A">
            <w:pPr>
              <w:spacing w:line="276" w:lineRule="auto"/>
            </w:pPr>
            <w:r>
              <w:t>1.2</w:t>
            </w:r>
          </w:p>
        </w:tc>
        <w:tc>
          <w:tcPr>
            <w:tcW w:w="3510" w:type="dxa"/>
            <w:shd w:val="clear" w:color="auto" w:fill="FFFFFF" w:themeFill="background1"/>
            <w:vAlign w:val="center"/>
          </w:tcPr>
          <w:p w14:paraId="0DCB505C" w14:textId="136D24AB" w:rsidR="002B2FA1" w:rsidRPr="00E3235A" w:rsidRDefault="00636AF9" w:rsidP="7C69989A">
            <w:pPr>
              <w:spacing w:line="276" w:lineRule="auto"/>
              <w:cnfStyle w:val="000000100000" w:firstRow="0" w:lastRow="0" w:firstColumn="0" w:lastColumn="0" w:oddVBand="0" w:evenVBand="0" w:oddHBand="1" w:evenHBand="0" w:firstRowFirstColumn="0" w:firstRowLastColumn="0" w:lastRowFirstColumn="0" w:lastRowLastColumn="0"/>
            </w:pPr>
            <w:r w:rsidRPr="00E3235A">
              <w:rPr>
                <w:color w:val="FF0000"/>
              </w:rPr>
              <w:t>Continue dam removal activities in the Chesapeake Bay</w:t>
            </w:r>
          </w:p>
        </w:tc>
        <w:tc>
          <w:tcPr>
            <w:tcW w:w="4560" w:type="dxa"/>
            <w:shd w:val="clear" w:color="auto" w:fill="FFFFFF" w:themeFill="background1"/>
          </w:tcPr>
          <w:p w14:paraId="2785F0BB" w14:textId="1F95435A" w:rsidR="002B2FA1" w:rsidRDefault="00636AF9" w:rsidP="00F94506">
            <w:pPr>
              <w:pStyle w:val="NoSpacing"/>
              <w:spacing w:line="276" w:lineRule="auto"/>
              <w:cnfStyle w:val="000000100000" w:firstRow="0" w:lastRow="0" w:firstColumn="0" w:lastColumn="0" w:oddVBand="0" w:evenVBand="0" w:oddHBand="1" w:evenHBand="0" w:firstRowFirstColumn="0" w:firstRowLastColumn="0" w:lastRowFirstColumn="0" w:lastRowLastColumn="0"/>
            </w:pPr>
            <w:r w:rsidRPr="00636AF9">
              <w:t>Various dam removal planning, design and implementation projects - many project</w:t>
            </w:r>
            <w:r w:rsidR="00F94506">
              <w:t>s</w:t>
            </w:r>
            <w:r w:rsidRPr="00636AF9">
              <w:t xml:space="preserve"> are in a feasibility study phase where there are no immediate milestones during 2018-2019.</w:t>
            </w:r>
            <w:r w:rsidR="00F94506">
              <w:t xml:space="preserve"> Continue outreach to dam owners on the benefits of dam removal through brochures and workshops.</w:t>
            </w:r>
            <w:r w:rsidR="00901C19">
              <w:t xml:space="preserve">  Fewer and Fewer of remaining dam owners are willing to remove their dam.</w:t>
            </w:r>
          </w:p>
        </w:tc>
        <w:tc>
          <w:tcPr>
            <w:tcW w:w="1800" w:type="dxa"/>
            <w:shd w:val="clear" w:color="auto" w:fill="FFFFFF" w:themeFill="background1"/>
          </w:tcPr>
          <w:p w14:paraId="5BAF2EDB" w14:textId="5697EA91" w:rsidR="002B2FA1" w:rsidRDefault="00636AF9" w:rsidP="7C69989A">
            <w:pPr>
              <w:spacing w:line="276" w:lineRule="auto"/>
              <w:cnfStyle w:val="000000100000" w:firstRow="0" w:lastRow="0" w:firstColumn="0" w:lastColumn="0" w:oddVBand="0" w:evenVBand="0" w:oddHBand="1" w:evenHBand="0" w:firstRowFirstColumn="0" w:firstRowLastColumn="0" w:lastRowFirstColumn="0" w:lastRowLastColumn="0"/>
            </w:pPr>
            <w:r w:rsidRPr="00636AF9">
              <w:t>Fish Passage Workgroup</w:t>
            </w:r>
          </w:p>
        </w:tc>
        <w:tc>
          <w:tcPr>
            <w:tcW w:w="1560" w:type="dxa"/>
            <w:shd w:val="clear" w:color="auto" w:fill="FFFFFF" w:themeFill="background1"/>
          </w:tcPr>
          <w:p w14:paraId="6EBCA4D0" w14:textId="4BACFCD1" w:rsidR="002B2FA1" w:rsidRDefault="00636AF9" w:rsidP="00B1086D">
            <w:pPr>
              <w:spacing w:line="276" w:lineRule="auto"/>
              <w:cnfStyle w:val="000000100000" w:firstRow="0" w:lastRow="0" w:firstColumn="0" w:lastColumn="0" w:oddVBand="0" w:evenVBand="0" w:oddHBand="1" w:evenHBand="0" w:firstRowFirstColumn="0" w:firstRowLastColumn="0" w:lastRowFirstColumn="0" w:lastRowLastColumn="0"/>
            </w:pPr>
            <w:r>
              <w:t>Varies</w:t>
            </w:r>
          </w:p>
        </w:tc>
        <w:tc>
          <w:tcPr>
            <w:tcW w:w="1964" w:type="dxa"/>
            <w:shd w:val="clear" w:color="auto" w:fill="FFFFFF" w:themeFill="background1"/>
          </w:tcPr>
          <w:p w14:paraId="15AB472B" w14:textId="52E0FFD6" w:rsidR="002B2FA1" w:rsidRDefault="00636AF9" w:rsidP="00B1086D">
            <w:pPr>
              <w:spacing w:line="276" w:lineRule="auto"/>
              <w:cnfStyle w:val="000000100000" w:firstRow="0" w:lastRow="0" w:firstColumn="0" w:lastColumn="0" w:oddVBand="0" w:evenVBand="0" w:oddHBand="1" w:evenHBand="0" w:firstRowFirstColumn="0" w:firstRowLastColumn="0" w:lastRowFirstColumn="0" w:lastRowLastColumn="0"/>
            </w:pPr>
            <w:r>
              <w:t>Varies</w:t>
            </w:r>
          </w:p>
        </w:tc>
      </w:tr>
      <w:tr w:rsidR="00FA4265" w14:paraId="7B85B784" w14:textId="77777777" w:rsidTr="26CF01FA">
        <w:trPr>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vAlign w:val="center"/>
          </w:tcPr>
          <w:p w14:paraId="785822F8" w14:textId="4ADC2615" w:rsidR="002B2FA1" w:rsidRDefault="00636AF9" w:rsidP="7C69989A">
            <w:pPr>
              <w:spacing w:line="276" w:lineRule="auto"/>
            </w:pPr>
            <w:r>
              <w:t>1.3</w:t>
            </w:r>
          </w:p>
        </w:tc>
        <w:tc>
          <w:tcPr>
            <w:tcW w:w="3510" w:type="dxa"/>
            <w:shd w:val="clear" w:color="auto" w:fill="FFFFFF" w:themeFill="background1"/>
            <w:vAlign w:val="center"/>
          </w:tcPr>
          <w:p w14:paraId="7FA2450B" w14:textId="7D376E51" w:rsidR="002B2FA1" w:rsidRPr="00901C19" w:rsidRDefault="00636AF9" w:rsidP="7C69989A">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1C19">
              <w:rPr>
                <w:color w:val="00B050"/>
              </w:rPr>
              <w:t>Coordinate dam removal activities with the state Dam Safety Programs</w:t>
            </w:r>
          </w:p>
        </w:tc>
        <w:tc>
          <w:tcPr>
            <w:tcW w:w="4560" w:type="dxa"/>
            <w:shd w:val="clear" w:color="auto" w:fill="FFFFFF" w:themeFill="background1"/>
          </w:tcPr>
          <w:p w14:paraId="25FA4CF6" w14:textId="4C93187A" w:rsidR="002B2FA1" w:rsidRDefault="00636AF9" w:rsidP="7C69989A">
            <w:pPr>
              <w:pStyle w:val="NoSpacing"/>
              <w:spacing w:line="276" w:lineRule="auto"/>
              <w:cnfStyle w:val="000000000000" w:firstRow="0" w:lastRow="0" w:firstColumn="0" w:lastColumn="0" w:oddVBand="0" w:evenVBand="0" w:oddHBand="0" w:evenHBand="0" w:firstRowFirstColumn="0" w:firstRowLastColumn="0" w:lastRowFirstColumn="0" w:lastRowLastColumn="0"/>
            </w:pPr>
            <w:r w:rsidRPr="00636AF9">
              <w:t>Establish or continue relationships with state dam safety programs.</w:t>
            </w:r>
          </w:p>
        </w:tc>
        <w:tc>
          <w:tcPr>
            <w:tcW w:w="1800" w:type="dxa"/>
            <w:shd w:val="clear" w:color="auto" w:fill="FFFFFF" w:themeFill="background1"/>
          </w:tcPr>
          <w:p w14:paraId="668BF526" w14:textId="45E8F6D1" w:rsidR="002B2FA1" w:rsidRDefault="00636AF9" w:rsidP="7C69989A">
            <w:pPr>
              <w:spacing w:line="276" w:lineRule="auto"/>
              <w:cnfStyle w:val="000000000000" w:firstRow="0" w:lastRow="0" w:firstColumn="0" w:lastColumn="0" w:oddVBand="0" w:evenVBand="0" w:oddHBand="0" w:evenHBand="0" w:firstRowFirstColumn="0" w:firstRowLastColumn="0" w:lastRowFirstColumn="0" w:lastRowLastColumn="0"/>
            </w:pPr>
            <w:r w:rsidRPr="00636AF9">
              <w:t>Fish Passage Workgroup</w:t>
            </w:r>
          </w:p>
        </w:tc>
        <w:tc>
          <w:tcPr>
            <w:tcW w:w="1560" w:type="dxa"/>
            <w:shd w:val="clear" w:color="auto" w:fill="FFFFFF" w:themeFill="background1"/>
          </w:tcPr>
          <w:p w14:paraId="3CFB2B24" w14:textId="002C947A" w:rsidR="002B2FA1" w:rsidRDefault="00636AF9" w:rsidP="00B1086D">
            <w:pPr>
              <w:spacing w:line="276" w:lineRule="auto"/>
              <w:cnfStyle w:val="000000000000" w:firstRow="0" w:lastRow="0" w:firstColumn="0" w:lastColumn="0" w:oddVBand="0" w:evenVBand="0" w:oddHBand="0" w:evenHBand="0" w:firstRowFirstColumn="0" w:firstRowLastColumn="0" w:lastRowFirstColumn="0" w:lastRowLastColumn="0"/>
            </w:pPr>
            <w:r w:rsidRPr="00636AF9">
              <w:t>Entire Chesapeake Bay Region</w:t>
            </w:r>
          </w:p>
        </w:tc>
        <w:tc>
          <w:tcPr>
            <w:tcW w:w="1964" w:type="dxa"/>
            <w:shd w:val="clear" w:color="auto" w:fill="FFFFFF" w:themeFill="background1"/>
          </w:tcPr>
          <w:p w14:paraId="0F248359" w14:textId="6494C23F" w:rsidR="002B2FA1" w:rsidRDefault="00636AF9" w:rsidP="00B1086D">
            <w:pPr>
              <w:spacing w:line="276" w:lineRule="auto"/>
              <w:cnfStyle w:val="000000000000" w:firstRow="0" w:lastRow="0" w:firstColumn="0" w:lastColumn="0" w:oddVBand="0" w:evenVBand="0" w:oddHBand="0" w:evenHBand="0" w:firstRowFirstColumn="0" w:firstRowLastColumn="0" w:lastRowFirstColumn="0" w:lastRowLastColumn="0"/>
            </w:pPr>
            <w:r>
              <w:t>Varies</w:t>
            </w:r>
          </w:p>
        </w:tc>
      </w:tr>
      <w:tr w:rsidR="00FA4265" w14:paraId="08DEAC2A" w14:textId="77777777" w:rsidTr="26CF01F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3AF186D6" w14:textId="05F517E7" w:rsidR="002B2FA1" w:rsidRDefault="002B2FA1" w:rsidP="00B1086D">
            <w:pPr>
              <w:spacing w:line="276" w:lineRule="auto"/>
            </w:pPr>
          </w:p>
        </w:tc>
        <w:tc>
          <w:tcPr>
            <w:tcW w:w="3510" w:type="dxa"/>
            <w:shd w:val="clear" w:color="auto" w:fill="FFFFFF" w:themeFill="background1"/>
          </w:tcPr>
          <w:p w14:paraId="0C85B640" w14:textId="73C27450" w:rsidR="002B2FA1" w:rsidRDefault="002B2FA1"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4560" w:type="dxa"/>
            <w:shd w:val="clear" w:color="auto" w:fill="FFFFFF" w:themeFill="background1"/>
          </w:tcPr>
          <w:p w14:paraId="404B75ED" w14:textId="4CC319D2" w:rsidR="002B2FA1" w:rsidRDefault="002B2FA1" w:rsidP="7C69989A">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1800" w:type="dxa"/>
            <w:shd w:val="clear" w:color="auto" w:fill="FFFFFF" w:themeFill="background1"/>
          </w:tcPr>
          <w:p w14:paraId="3ABD32F0" w14:textId="4EF494C1" w:rsidR="002B2FA1" w:rsidRDefault="002B2FA1"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FFFFFF" w:themeFill="background1"/>
          </w:tcPr>
          <w:p w14:paraId="1E30F887" w14:textId="77777777" w:rsidR="002B2FA1" w:rsidRDefault="002B2FA1"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964" w:type="dxa"/>
            <w:shd w:val="clear" w:color="auto" w:fill="FFFFFF" w:themeFill="background1"/>
          </w:tcPr>
          <w:p w14:paraId="74B215CD" w14:textId="116D03A1" w:rsidR="002B2FA1" w:rsidRDefault="002B2FA1"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2B2FA1" w14:paraId="28B0D8E5" w14:textId="77777777" w:rsidTr="26CF01FA">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Pr>
          <w:p w14:paraId="2B025B86" w14:textId="4632BFBA" w:rsidR="002B2FA1" w:rsidRDefault="002B2FA1" w:rsidP="006D63DC">
            <w:pPr>
              <w:pStyle w:val="Heading1"/>
              <w:spacing w:before="0"/>
              <w:outlineLvl w:val="0"/>
            </w:pPr>
            <w:bookmarkStart w:id="2" w:name="_Management_Approach_2:"/>
            <w:bookmarkEnd w:id="2"/>
            <w:r>
              <w:lastRenderedPageBreak/>
              <w:t>Management Approach</w:t>
            </w:r>
            <w:r w:rsidR="00B67FBE">
              <w:t xml:space="preserve"> 2</w:t>
            </w:r>
            <w:r>
              <w:t>:</w:t>
            </w:r>
            <w:r w:rsidR="005229B1">
              <w:t xml:space="preserve"> </w:t>
            </w:r>
            <w:r w:rsidR="005229B1" w:rsidRPr="005229B1">
              <w:t>Document return of fish to opened stream reaches by establishing the presence or absence of target species at a select number of projects within the Chesapeake Bay watershed.</w:t>
            </w:r>
          </w:p>
        </w:tc>
      </w:tr>
      <w:tr w:rsidR="00FA4265" w14:paraId="06F0F6AC" w14:textId="77777777" w:rsidTr="26CF01F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6E7EDF1" w14:textId="37378ECD" w:rsidR="002B2FA1" w:rsidRDefault="00AE4849" w:rsidP="00B1086D">
            <w:pPr>
              <w:spacing w:line="276" w:lineRule="auto"/>
            </w:pPr>
            <w:r>
              <w:t>2.1</w:t>
            </w:r>
          </w:p>
        </w:tc>
        <w:tc>
          <w:tcPr>
            <w:tcW w:w="3510" w:type="dxa"/>
            <w:shd w:val="clear" w:color="auto" w:fill="FFFFFF" w:themeFill="background1"/>
          </w:tcPr>
          <w:p w14:paraId="7E5E0623" w14:textId="125F1B33" w:rsidR="002B2FA1" w:rsidRPr="00901C19" w:rsidRDefault="00854C54" w:rsidP="00B1086D">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901C19">
              <w:rPr>
                <w:color w:val="00B050"/>
              </w:rPr>
              <w:t>Monitor NOAA funded dam removal projects for the presence/absence of target fish species (Tier I monitoring)</w:t>
            </w:r>
          </w:p>
        </w:tc>
        <w:tc>
          <w:tcPr>
            <w:tcW w:w="4560" w:type="dxa"/>
            <w:shd w:val="clear" w:color="auto" w:fill="FFFFFF" w:themeFill="background1"/>
          </w:tcPr>
          <w:p w14:paraId="1221BB17" w14:textId="4E8FD5CF" w:rsidR="002B2FA1" w:rsidRDefault="00854C54" w:rsidP="00B1086D">
            <w:pPr>
              <w:spacing w:line="276" w:lineRule="auto"/>
              <w:cnfStyle w:val="000000100000" w:firstRow="0" w:lastRow="0" w:firstColumn="0" w:lastColumn="0" w:oddVBand="0" w:evenVBand="0" w:oddHBand="1" w:evenHBand="0" w:firstRowFirstColumn="0" w:firstRowLastColumn="0" w:lastRowFirstColumn="0" w:lastRowLastColumn="0"/>
            </w:pPr>
            <w:r w:rsidRPr="00854C54">
              <w:t>All NOAA funded dam removals will be monitored.</w:t>
            </w:r>
          </w:p>
        </w:tc>
        <w:tc>
          <w:tcPr>
            <w:tcW w:w="1800" w:type="dxa"/>
            <w:shd w:val="clear" w:color="auto" w:fill="FFFFFF" w:themeFill="background1"/>
          </w:tcPr>
          <w:p w14:paraId="62C66217" w14:textId="3EC72664" w:rsidR="002B2FA1" w:rsidRDefault="00854C54" w:rsidP="00B1086D">
            <w:pPr>
              <w:spacing w:line="276" w:lineRule="auto"/>
              <w:cnfStyle w:val="000000100000" w:firstRow="0" w:lastRow="0" w:firstColumn="0" w:lastColumn="0" w:oddVBand="0" w:evenVBand="0" w:oddHBand="1" w:evenHBand="0" w:firstRowFirstColumn="0" w:firstRowLastColumn="0" w:lastRowFirstColumn="0" w:lastRowLastColumn="0"/>
            </w:pPr>
            <w:r w:rsidRPr="00854C54">
              <w:t>NOAA, funding recipients</w:t>
            </w:r>
          </w:p>
        </w:tc>
        <w:tc>
          <w:tcPr>
            <w:tcW w:w="1560" w:type="dxa"/>
            <w:shd w:val="clear" w:color="auto" w:fill="FFFFFF" w:themeFill="background1"/>
          </w:tcPr>
          <w:p w14:paraId="039C6B2D" w14:textId="17A9E46E" w:rsidR="002B2FA1" w:rsidRDefault="00854C54" w:rsidP="00B1086D">
            <w:pPr>
              <w:spacing w:line="276" w:lineRule="auto"/>
              <w:cnfStyle w:val="000000100000" w:firstRow="0" w:lastRow="0" w:firstColumn="0" w:lastColumn="0" w:oddVBand="0" w:evenVBand="0" w:oddHBand="1" w:evenHBand="0" w:firstRowFirstColumn="0" w:firstRowLastColumn="0" w:lastRowFirstColumn="0" w:lastRowLastColumn="0"/>
            </w:pPr>
            <w:r>
              <w:t>At dam removal sites</w:t>
            </w:r>
          </w:p>
        </w:tc>
        <w:tc>
          <w:tcPr>
            <w:tcW w:w="1964" w:type="dxa"/>
            <w:shd w:val="clear" w:color="auto" w:fill="FFFFFF" w:themeFill="background1"/>
          </w:tcPr>
          <w:p w14:paraId="60293292" w14:textId="57D82FD4" w:rsidR="002B2FA1" w:rsidRDefault="00854C54" w:rsidP="00B1086D">
            <w:pPr>
              <w:spacing w:line="276" w:lineRule="auto"/>
              <w:cnfStyle w:val="000000100000" w:firstRow="0" w:lastRow="0" w:firstColumn="0" w:lastColumn="0" w:oddVBand="0" w:evenVBand="0" w:oddHBand="1" w:evenHBand="0" w:firstRowFirstColumn="0" w:firstRowLastColumn="0" w:lastRowFirstColumn="0" w:lastRowLastColumn="0"/>
            </w:pPr>
            <w:r>
              <w:t>Ongoing</w:t>
            </w:r>
          </w:p>
          <w:p w14:paraId="7248CAA2" w14:textId="1F24C1BD" w:rsidR="00854C54" w:rsidRDefault="00854C54"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FA4265" w14:paraId="68192A1D" w14:textId="77777777" w:rsidTr="26CF01FA">
        <w:trPr>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6DB376FF" w14:textId="10D85E74" w:rsidR="002B2FA1" w:rsidRDefault="00AE4849" w:rsidP="00B1086D">
            <w:pPr>
              <w:spacing w:line="276" w:lineRule="auto"/>
            </w:pPr>
            <w:bookmarkStart w:id="3" w:name="_Management_Approach_3:"/>
            <w:bookmarkEnd w:id="3"/>
            <w:r>
              <w:t>2.2</w:t>
            </w:r>
          </w:p>
        </w:tc>
        <w:tc>
          <w:tcPr>
            <w:tcW w:w="3510" w:type="dxa"/>
            <w:shd w:val="clear" w:color="auto" w:fill="FFFFFF" w:themeFill="background1"/>
          </w:tcPr>
          <w:p w14:paraId="06DA59B0" w14:textId="20530723" w:rsidR="002B2FA1" w:rsidRPr="00901C19" w:rsidRDefault="00854C54" w:rsidP="00B1086D">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1C19">
              <w:rPr>
                <w:color w:val="00B050"/>
              </w:rPr>
              <w:t>Conduct Tier II monitoring on select dam removals (Currently, the Patapsco River monitoring is the only river designated as a Tier II site by NOAA).</w:t>
            </w:r>
          </w:p>
        </w:tc>
        <w:tc>
          <w:tcPr>
            <w:tcW w:w="4560" w:type="dxa"/>
            <w:shd w:val="clear" w:color="auto" w:fill="FFFFFF" w:themeFill="background1"/>
          </w:tcPr>
          <w:p w14:paraId="6A894FCA" w14:textId="77777777" w:rsidR="00854C54" w:rsidRDefault="00854C54" w:rsidP="00854C54">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Conduct Tier II monitoring on the Patapsco River.</w:t>
            </w:r>
          </w:p>
          <w:p w14:paraId="009E02CA" w14:textId="77777777" w:rsidR="002B2FA1" w:rsidRDefault="002B2FA1"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800" w:type="dxa"/>
            <w:shd w:val="clear" w:color="auto" w:fill="FFFFFF" w:themeFill="background1"/>
          </w:tcPr>
          <w:p w14:paraId="5D5128B7" w14:textId="59CE8019" w:rsidR="002B2FA1" w:rsidRDefault="00854C54" w:rsidP="00B1086D">
            <w:pPr>
              <w:spacing w:line="276" w:lineRule="auto"/>
              <w:cnfStyle w:val="000000000000" w:firstRow="0" w:lastRow="0" w:firstColumn="0" w:lastColumn="0" w:oddVBand="0" w:evenVBand="0" w:oddHBand="0" w:evenHBand="0" w:firstRowFirstColumn="0" w:firstRowLastColumn="0" w:lastRowFirstColumn="0" w:lastRowLastColumn="0"/>
            </w:pPr>
            <w:r w:rsidRPr="00854C54">
              <w:t>NOAA, American Rivers, MD DNR, UMBC, USGS, MGS, USFWS</w:t>
            </w:r>
          </w:p>
        </w:tc>
        <w:tc>
          <w:tcPr>
            <w:tcW w:w="1560" w:type="dxa"/>
            <w:shd w:val="clear" w:color="auto" w:fill="FFFFFF" w:themeFill="background1"/>
          </w:tcPr>
          <w:p w14:paraId="3B555385" w14:textId="56D3E374" w:rsidR="002B2FA1" w:rsidRDefault="00854C54" w:rsidP="00B1086D">
            <w:pPr>
              <w:spacing w:line="276" w:lineRule="auto"/>
              <w:cnfStyle w:val="000000000000" w:firstRow="0" w:lastRow="0" w:firstColumn="0" w:lastColumn="0" w:oddVBand="0" w:evenVBand="0" w:oddHBand="0" w:evenHBand="0" w:firstRowFirstColumn="0" w:firstRowLastColumn="0" w:lastRowFirstColumn="0" w:lastRowLastColumn="0"/>
            </w:pPr>
            <w:r w:rsidRPr="00854C54">
              <w:t>Patapsco River near Ellicott City, MD</w:t>
            </w:r>
          </w:p>
        </w:tc>
        <w:tc>
          <w:tcPr>
            <w:tcW w:w="1964" w:type="dxa"/>
            <w:shd w:val="clear" w:color="auto" w:fill="FFFFFF" w:themeFill="background1"/>
          </w:tcPr>
          <w:p w14:paraId="32E4E513" w14:textId="42506DAA" w:rsidR="002B2FA1" w:rsidRDefault="00854C54" w:rsidP="00B1086D">
            <w:pPr>
              <w:spacing w:line="276" w:lineRule="auto"/>
              <w:cnfStyle w:val="000000000000" w:firstRow="0" w:lastRow="0" w:firstColumn="0" w:lastColumn="0" w:oddVBand="0" w:evenVBand="0" w:oddHBand="0" w:evenHBand="0" w:firstRowFirstColumn="0" w:firstRowLastColumn="0" w:lastRowFirstColumn="0" w:lastRowLastColumn="0"/>
            </w:pPr>
            <w:r>
              <w:t>Ongoing through 2023</w:t>
            </w:r>
          </w:p>
        </w:tc>
      </w:tr>
      <w:tr w:rsidR="00FA4265" w14:paraId="7AC6518F" w14:textId="77777777" w:rsidTr="26CF01F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60F5856" w14:textId="435ED93E" w:rsidR="002B2FA1" w:rsidRDefault="006A2F3D" w:rsidP="00B1086D">
            <w:pPr>
              <w:spacing w:line="276" w:lineRule="auto"/>
            </w:pPr>
            <w:r>
              <w:t>2.3</w:t>
            </w:r>
          </w:p>
        </w:tc>
        <w:tc>
          <w:tcPr>
            <w:tcW w:w="3510" w:type="dxa"/>
            <w:shd w:val="clear" w:color="auto" w:fill="FFFFFF" w:themeFill="background1"/>
          </w:tcPr>
          <w:p w14:paraId="1ECAB7BC" w14:textId="426FA5F4" w:rsidR="002B2FA1" w:rsidRPr="006A2F3D" w:rsidRDefault="006A2F3D" w:rsidP="00B1086D">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6A2F3D">
              <w:rPr>
                <w:color w:val="00B050"/>
              </w:rPr>
              <w:t>Conduct target species monitoring of select dam removals in VA (+/- and relative abundance)</w:t>
            </w:r>
          </w:p>
        </w:tc>
        <w:tc>
          <w:tcPr>
            <w:tcW w:w="4560" w:type="dxa"/>
            <w:shd w:val="clear" w:color="auto" w:fill="FFFFFF" w:themeFill="background1"/>
          </w:tcPr>
          <w:p w14:paraId="3343A17B" w14:textId="3F71C24C" w:rsidR="006A2F3D" w:rsidRDefault="006A2F3D" w:rsidP="006A2F3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Boat electrofishing upstream of Harvell Dam removal on the Appomattox River and </w:t>
            </w:r>
            <w:r w:rsidRPr="006A2F3D">
              <w:rPr>
                <w:rFonts w:ascii="Calibri" w:hAnsi="Calibri"/>
                <w:color w:val="000000"/>
              </w:rPr>
              <w:t>Embrey Dam removal on the Rappahannock River</w:t>
            </w:r>
            <w:r>
              <w:rPr>
                <w:rFonts w:ascii="Calibri" w:hAnsi="Calibri"/>
                <w:color w:val="000000"/>
              </w:rPr>
              <w:t>.</w:t>
            </w:r>
          </w:p>
          <w:p w14:paraId="77EBE5C9" w14:textId="3940CF03" w:rsidR="002B2FA1" w:rsidRDefault="002B2FA1"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800" w:type="dxa"/>
            <w:shd w:val="clear" w:color="auto" w:fill="FFFFFF" w:themeFill="background1"/>
          </w:tcPr>
          <w:p w14:paraId="3D60E4B4" w14:textId="77777777" w:rsidR="006A2F3D" w:rsidRDefault="006A2F3D" w:rsidP="006A2F3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VDGIF</w:t>
            </w:r>
          </w:p>
          <w:p w14:paraId="4FC12CE5" w14:textId="77777777" w:rsidR="002B2FA1" w:rsidRDefault="002B2FA1"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1560" w:type="dxa"/>
            <w:shd w:val="clear" w:color="auto" w:fill="FFFFFF" w:themeFill="background1"/>
          </w:tcPr>
          <w:p w14:paraId="6FCC227A" w14:textId="77777777" w:rsidR="006A2F3D" w:rsidRDefault="006A2F3D" w:rsidP="006A2F3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Appomattox River in Petersburg, VA</w:t>
            </w:r>
          </w:p>
          <w:p w14:paraId="055B2801" w14:textId="77777777" w:rsidR="006A2F3D" w:rsidRDefault="006A2F3D" w:rsidP="00B1086D">
            <w:pPr>
              <w:spacing w:line="276" w:lineRule="auto"/>
              <w:cnfStyle w:val="000000100000" w:firstRow="0" w:lastRow="0" w:firstColumn="0" w:lastColumn="0" w:oddVBand="0" w:evenVBand="0" w:oddHBand="1" w:evenHBand="0" w:firstRowFirstColumn="0" w:firstRowLastColumn="0" w:lastRowFirstColumn="0" w:lastRowLastColumn="0"/>
            </w:pPr>
            <w:r>
              <w:t xml:space="preserve">And </w:t>
            </w:r>
          </w:p>
          <w:p w14:paraId="6E5136C5" w14:textId="50742735" w:rsidR="002B2FA1" w:rsidRPr="006A2F3D" w:rsidRDefault="006A2F3D" w:rsidP="006A2F3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Rappahannock River near Fredericksburg, VA</w:t>
            </w:r>
          </w:p>
        </w:tc>
        <w:tc>
          <w:tcPr>
            <w:tcW w:w="1964" w:type="dxa"/>
            <w:shd w:val="clear" w:color="auto" w:fill="FFFFFF" w:themeFill="background1"/>
          </w:tcPr>
          <w:p w14:paraId="02DF549C" w14:textId="5F5F06E4" w:rsidR="002B2FA1" w:rsidRDefault="006A2F3D" w:rsidP="00B1086D">
            <w:pPr>
              <w:spacing w:line="276" w:lineRule="auto"/>
              <w:cnfStyle w:val="000000100000" w:firstRow="0" w:lastRow="0" w:firstColumn="0" w:lastColumn="0" w:oddVBand="0" w:evenVBand="0" w:oddHBand="1" w:evenHBand="0" w:firstRowFirstColumn="0" w:firstRowLastColumn="0" w:lastRowFirstColumn="0" w:lastRowLastColumn="0"/>
            </w:pPr>
            <w:r>
              <w:t>Ongoing and continued availabili</w:t>
            </w:r>
            <w:r w:rsidRPr="006A2F3D">
              <w:t>ty of funding for fish passage technician crew.</w:t>
            </w:r>
          </w:p>
        </w:tc>
      </w:tr>
      <w:tr w:rsidR="006A2F3D" w14:paraId="656812C2" w14:textId="77777777" w:rsidTr="26CF01FA">
        <w:trPr>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984EA69" w14:textId="66370EF7" w:rsidR="006A2F3D" w:rsidRDefault="006A2F3D" w:rsidP="00B1086D">
            <w:pPr>
              <w:spacing w:line="276" w:lineRule="auto"/>
            </w:pPr>
            <w:r>
              <w:t>2.4</w:t>
            </w:r>
          </w:p>
        </w:tc>
        <w:tc>
          <w:tcPr>
            <w:tcW w:w="3510" w:type="dxa"/>
            <w:shd w:val="clear" w:color="auto" w:fill="FFFFFF" w:themeFill="background1"/>
          </w:tcPr>
          <w:p w14:paraId="5B21AC70" w14:textId="409D2029" w:rsidR="006A2F3D" w:rsidRPr="006A2F3D" w:rsidRDefault="006A2F3D" w:rsidP="00B1086D">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6A2F3D">
              <w:rPr>
                <w:color w:val="00B050"/>
              </w:rPr>
              <w:t>Conduct target species counts at technical fishways in VA</w:t>
            </w:r>
          </w:p>
        </w:tc>
        <w:tc>
          <w:tcPr>
            <w:tcW w:w="4560" w:type="dxa"/>
            <w:shd w:val="clear" w:color="auto" w:fill="FFFFFF" w:themeFill="background1"/>
          </w:tcPr>
          <w:p w14:paraId="35E12CEA" w14:textId="28464619" w:rsidR="006A2F3D" w:rsidRDefault="006A2F3D" w:rsidP="00B1086D">
            <w:pPr>
              <w:spacing w:line="276" w:lineRule="auto"/>
              <w:cnfStyle w:val="000000000000" w:firstRow="0" w:lastRow="0" w:firstColumn="0" w:lastColumn="0" w:oddVBand="0" w:evenVBand="0" w:oddHBand="0" w:evenHBand="0" w:firstRowFirstColumn="0" w:firstRowLastColumn="0" w:lastRowFirstColumn="0" w:lastRowLastColumn="0"/>
            </w:pPr>
            <w:r w:rsidRPr="006A2F3D">
              <w:t>Continue Annual American Shad count at Boshers Vertical Slot Fishway.  Establishing electronic herring run count at Walkers Dam Denil fishway.</w:t>
            </w:r>
          </w:p>
        </w:tc>
        <w:tc>
          <w:tcPr>
            <w:tcW w:w="1800" w:type="dxa"/>
            <w:shd w:val="clear" w:color="auto" w:fill="FFFFFF" w:themeFill="background1"/>
          </w:tcPr>
          <w:p w14:paraId="0F6D9B8F" w14:textId="77777777" w:rsidR="006A2F3D" w:rsidRDefault="006A2F3D" w:rsidP="006A2F3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VDGIF</w:t>
            </w:r>
          </w:p>
          <w:p w14:paraId="1A84D9E3" w14:textId="77777777" w:rsidR="006A2F3D" w:rsidRDefault="006A2F3D"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560" w:type="dxa"/>
            <w:shd w:val="clear" w:color="auto" w:fill="FFFFFF" w:themeFill="background1"/>
          </w:tcPr>
          <w:p w14:paraId="75A79AE0" w14:textId="3C5B5134" w:rsidR="006A2F3D" w:rsidRPr="006A2F3D" w:rsidRDefault="006A2F3D" w:rsidP="006A2F3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Boshers Dam in Henrico County on James River near Richmond, VA.  Walkers Dam in New Kent Count on Chickahominy River near Lanexa, VA.</w:t>
            </w:r>
          </w:p>
        </w:tc>
        <w:tc>
          <w:tcPr>
            <w:tcW w:w="1964" w:type="dxa"/>
            <w:shd w:val="clear" w:color="auto" w:fill="FFFFFF" w:themeFill="background1"/>
          </w:tcPr>
          <w:p w14:paraId="39ED732B" w14:textId="16274298" w:rsidR="006A2F3D" w:rsidRDefault="006A2F3D" w:rsidP="00B1086D">
            <w:pPr>
              <w:spacing w:line="276" w:lineRule="auto"/>
              <w:cnfStyle w:val="000000000000" w:firstRow="0" w:lastRow="0" w:firstColumn="0" w:lastColumn="0" w:oddVBand="0" w:evenVBand="0" w:oddHBand="0" w:evenHBand="0" w:firstRowFirstColumn="0" w:firstRowLastColumn="0" w:lastRowFirstColumn="0" w:lastRowLastColumn="0"/>
            </w:pPr>
            <w:r>
              <w:t>Ongoing and continued availabili</w:t>
            </w:r>
            <w:r w:rsidRPr="006A2F3D">
              <w:t>ty of funding for fish passage technician crew.</w:t>
            </w:r>
          </w:p>
        </w:tc>
      </w:tr>
      <w:tr w:rsidR="006A2F3D" w14:paraId="49421FED" w14:textId="77777777" w:rsidTr="26CF01F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4B4188B" w14:textId="54F83BCC" w:rsidR="006A2F3D" w:rsidRDefault="006A2F3D" w:rsidP="00B1086D">
            <w:pPr>
              <w:spacing w:line="276" w:lineRule="auto"/>
            </w:pPr>
            <w:r>
              <w:t>2.5</w:t>
            </w:r>
          </w:p>
        </w:tc>
        <w:tc>
          <w:tcPr>
            <w:tcW w:w="3510" w:type="dxa"/>
            <w:shd w:val="clear" w:color="auto" w:fill="FFFFFF" w:themeFill="background1"/>
          </w:tcPr>
          <w:p w14:paraId="0C1E41EC" w14:textId="3C666969" w:rsidR="006A2F3D" w:rsidRPr="006A2F3D" w:rsidRDefault="006A2F3D" w:rsidP="00B1086D">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6A2F3D">
              <w:rPr>
                <w:color w:val="00B050"/>
              </w:rPr>
              <w:t>Conduct target species monitoring (+/- and relative abundance) at road culverts in VA</w:t>
            </w:r>
          </w:p>
        </w:tc>
        <w:tc>
          <w:tcPr>
            <w:tcW w:w="4560" w:type="dxa"/>
            <w:shd w:val="clear" w:color="auto" w:fill="FFFFFF" w:themeFill="background1"/>
          </w:tcPr>
          <w:p w14:paraId="7FD3C1C3" w14:textId="71737B5B" w:rsidR="006A2F3D" w:rsidRDefault="006A2F3D" w:rsidP="00B1086D">
            <w:pPr>
              <w:spacing w:line="276" w:lineRule="auto"/>
              <w:cnfStyle w:val="000000100000" w:firstRow="0" w:lastRow="0" w:firstColumn="0" w:lastColumn="0" w:oddVBand="0" w:evenVBand="0" w:oddHBand="1" w:evenHBand="0" w:firstRowFirstColumn="0" w:firstRowLastColumn="0" w:lastRowFirstColumn="0" w:lastRowLastColumn="0"/>
            </w:pPr>
            <w:r w:rsidRPr="006A2F3D">
              <w:t>Continue annual backpack electrofishing at Claiborne Run nature-like fishway (herring).</w:t>
            </w:r>
          </w:p>
        </w:tc>
        <w:tc>
          <w:tcPr>
            <w:tcW w:w="1800" w:type="dxa"/>
            <w:shd w:val="clear" w:color="auto" w:fill="FFFFFF" w:themeFill="background1"/>
          </w:tcPr>
          <w:p w14:paraId="79BD5D88" w14:textId="0A625BB0" w:rsidR="006A2F3D" w:rsidRDefault="006A2F3D" w:rsidP="00B1086D">
            <w:pPr>
              <w:spacing w:line="276" w:lineRule="auto"/>
              <w:cnfStyle w:val="000000100000" w:firstRow="0" w:lastRow="0" w:firstColumn="0" w:lastColumn="0" w:oddVBand="0" w:evenVBand="0" w:oddHBand="1" w:evenHBand="0" w:firstRowFirstColumn="0" w:firstRowLastColumn="0" w:lastRowFirstColumn="0" w:lastRowLastColumn="0"/>
            </w:pPr>
            <w:r>
              <w:t>VDGIF</w:t>
            </w:r>
          </w:p>
        </w:tc>
        <w:tc>
          <w:tcPr>
            <w:tcW w:w="1560" w:type="dxa"/>
            <w:shd w:val="clear" w:color="auto" w:fill="FFFFFF" w:themeFill="background1"/>
          </w:tcPr>
          <w:p w14:paraId="70BA28CF" w14:textId="6199F252" w:rsidR="006A2F3D" w:rsidRDefault="006A2F3D" w:rsidP="00B1086D">
            <w:pPr>
              <w:spacing w:line="276" w:lineRule="auto"/>
              <w:cnfStyle w:val="000000100000" w:firstRow="0" w:lastRow="0" w:firstColumn="0" w:lastColumn="0" w:oddVBand="0" w:evenVBand="0" w:oddHBand="1" w:evenHBand="0" w:firstRowFirstColumn="0" w:firstRowLastColumn="0" w:lastRowFirstColumn="0" w:lastRowLastColumn="0"/>
            </w:pPr>
            <w:r w:rsidRPr="006A2F3D">
              <w:t>Rappahannock tributary: Claiborne Run in Stafford County, VA</w:t>
            </w:r>
          </w:p>
        </w:tc>
        <w:tc>
          <w:tcPr>
            <w:tcW w:w="1964" w:type="dxa"/>
            <w:shd w:val="clear" w:color="auto" w:fill="FFFFFF" w:themeFill="background1"/>
          </w:tcPr>
          <w:p w14:paraId="604C9534" w14:textId="77777777" w:rsidR="006A2F3D" w:rsidRDefault="006A2F3D" w:rsidP="006A2F3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Two more of five consecutive years</w:t>
            </w:r>
          </w:p>
          <w:p w14:paraId="30BC7786" w14:textId="77777777" w:rsidR="006A2F3D" w:rsidRDefault="006A2F3D"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D25A11" w14:paraId="327E59E1" w14:textId="77777777" w:rsidTr="26CF01FA">
        <w:trPr>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F7D9B61" w14:textId="4C6599E4" w:rsidR="00D25A11" w:rsidRDefault="00D25A11" w:rsidP="00B1086D">
            <w:pPr>
              <w:spacing w:line="276" w:lineRule="auto"/>
            </w:pPr>
            <w:r>
              <w:lastRenderedPageBreak/>
              <w:t>2.6</w:t>
            </w:r>
          </w:p>
        </w:tc>
        <w:tc>
          <w:tcPr>
            <w:tcW w:w="3510" w:type="dxa"/>
            <w:shd w:val="clear" w:color="auto" w:fill="FFFFFF" w:themeFill="background1"/>
          </w:tcPr>
          <w:p w14:paraId="30BE935C" w14:textId="6ED513A5" w:rsidR="00D25A11" w:rsidRPr="006A2F3D" w:rsidRDefault="00D25A11" w:rsidP="00B1086D">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D25A11">
              <w:rPr>
                <w:color w:val="FF0000"/>
              </w:rPr>
              <w:t>Continue to develop environmental DNA (eDNA) tool to detect shad.  Continue sampling for river herring and apply river herring eDNA analysis to determine priority fish passage projects and develop habitat use models</w:t>
            </w:r>
          </w:p>
        </w:tc>
        <w:tc>
          <w:tcPr>
            <w:tcW w:w="4560" w:type="dxa"/>
            <w:shd w:val="clear" w:color="auto" w:fill="FFFFFF" w:themeFill="background1"/>
          </w:tcPr>
          <w:p w14:paraId="1A27EFF7" w14:textId="6CB2E6D2" w:rsidR="00D25A11" w:rsidRPr="006A2F3D" w:rsidRDefault="00D25A11" w:rsidP="00B1086D">
            <w:pPr>
              <w:spacing w:line="276" w:lineRule="auto"/>
              <w:cnfStyle w:val="000000000000" w:firstRow="0" w:lastRow="0" w:firstColumn="0" w:lastColumn="0" w:oddVBand="0" w:evenVBand="0" w:oddHBand="0" w:evenHBand="0" w:firstRowFirstColumn="0" w:firstRowLastColumn="0" w:lastRowFirstColumn="0" w:lastRowLastColumn="0"/>
            </w:pPr>
            <w:r>
              <w:t>Develop and test tools for shad.  Use river herring tools already developed (completed task in previous fish passage work plan).</w:t>
            </w:r>
          </w:p>
        </w:tc>
        <w:tc>
          <w:tcPr>
            <w:tcW w:w="1800" w:type="dxa"/>
            <w:shd w:val="clear" w:color="auto" w:fill="FFFFFF" w:themeFill="background1"/>
          </w:tcPr>
          <w:p w14:paraId="092D8B69" w14:textId="2A82C289" w:rsidR="00D25A11" w:rsidRDefault="00D25A11" w:rsidP="00B1086D">
            <w:pPr>
              <w:spacing w:line="276" w:lineRule="auto"/>
              <w:cnfStyle w:val="000000000000" w:firstRow="0" w:lastRow="0" w:firstColumn="0" w:lastColumn="0" w:oddVBand="0" w:evenVBand="0" w:oddHBand="0" w:evenHBand="0" w:firstRowFirstColumn="0" w:firstRowLastColumn="0" w:lastRowFirstColumn="0" w:lastRowLastColumn="0"/>
            </w:pPr>
            <w:r>
              <w:t>SERC, UMCES</w:t>
            </w:r>
          </w:p>
        </w:tc>
        <w:tc>
          <w:tcPr>
            <w:tcW w:w="1560" w:type="dxa"/>
            <w:shd w:val="clear" w:color="auto" w:fill="FFFFFF" w:themeFill="background1"/>
          </w:tcPr>
          <w:p w14:paraId="3349E2DC" w14:textId="0FD61400" w:rsidR="00D25A11" w:rsidRPr="006A2F3D" w:rsidRDefault="00D25A11" w:rsidP="00B1086D">
            <w:pPr>
              <w:spacing w:line="276" w:lineRule="auto"/>
              <w:cnfStyle w:val="000000000000" w:firstRow="0" w:lastRow="0" w:firstColumn="0" w:lastColumn="0" w:oddVBand="0" w:evenVBand="0" w:oddHBand="0" w:evenHBand="0" w:firstRowFirstColumn="0" w:firstRowLastColumn="0" w:lastRowFirstColumn="0" w:lastRowLastColumn="0"/>
            </w:pPr>
            <w:r>
              <w:t>Frozen samples collected in Patapsco River; if funded, expand to entire Chesapeake Bay</w:t>
            </w:r>
          </w:p>
        </w:tc>
        <w:tc>
          <w:tcPr>
            <w:tcW w:w="1964" w:type="dxa"/>
            <w:shd w:val="clear" w:color="auto" w:fill="FFFFFF" w:themeFill="background1"/>
          </w:tcPr>
          <w:p w14:paraId="3490CFBD" w14:textId="4D8BD061" w:rsidR="00D25A11" w:rsidRDefault="00D25A11" w:rsidP="006A2F3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Ongoing</w:t>
            </w:r>
          </w:p>
        </w:tc>
      </w:tr>
      <w:tr w:rsidR="005229B1" w14:paraId="58C78B05" w14:textId="77777777" w:rsidTr="000F390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FFFFFF" w:themeFill="background1"/>
          </w:tcPr>
          <w:p w14:paraId="55D88DEE" w14:textId="52F5058F" w:rsidR="005229B1" w:rsidRDefault="005229B1" w:rsidP="00B1086D">
            <w:pPr>
              <w:spacing w:line="276" w:lineRule="auto"/>
            </w:pPr>
            <w:r>
              <w:t xml:space="preserve">Management Approach 3: </w:t>
            </w:r>
            <w:r w:rsidRPr="005229B1">
              <w:t>Use the Chesapeake Bay Fish Passage Tool that was completed by the workgroup to implement high priority dam removal and fish passage projects.</w:t>
            </w:r>
          </w:p>
        </w:tc>
      </w:tr>
      <w:tr w:rsidR="00FA4265" w14:paraId="76A93C7A" w14:textId="77777777" w:rsidTr="26CF01FA">
        <w:trPr>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ABCD5DA" w14:textId="1A47EBEA" w:rsidR="002B2FA1" w:rsidRPr="005B2384" w:rsidRDefault="00AE4849" w:rsidP="00463345">
            <w:r>
              <w:t>3.1</w:t>
            </w:r>
          </w:p>
        </w:tc>
        <w:tc>
          <w:tcPr>
            <w:tcW w:w="3510" w:type="dxa"/>
            <w:shd w:val="clear" w:color="auto" w:fill="FFFFFF" w:themeFill="background1"/>
          </w:tcPr>
          <w:p w14:paraId="3965147E" w14:textId="696D3175" w:rsidR="002B2FA1" w:rsidRPr="00901C19" w:rsidRDefault="00854C54" w:rsidP="00B1086D">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901C19">
              <w:rPr>
                <w:color w:val="00B050"/>
              </w:rPr>
              <w:t>Continue using the Chesapeake Bay Fish Passage Tool to implement high priority dam removal and fish passage projects.</w:t>
            </w:r>
            <w:r w:rsidR="00D856E3" w:rsidRPr="00901C19">
              <w:rPr>
                <w:color w:val="00B050"/>
              </w:rPr>
              <w:t xml:space="preserve">  Complete Tool updates to include culvert assessment information</w:t>
            </w:r>
          </w:p>
        </w:tc>
        <w:tc>
          <w:tcPr>
            <w:tcW w:w="4560" w:type="dxa"/>
            <w:shd w:val="clear" w:color="auto" w:fill="FFFFFF" w:themeFill="background1"/>
          </w:tcPr>
          <w:p w14:paraId="75CFE8D5" w14:textId="64709DB1" w:rsidR="002B2FA1" w:rsidRPr="00901C19" w:rsidRDefault="00854C54" w:rsidP="00B1086D">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901C19">
              <w:rPr>
                <w:color w:val="000000" w:themeColor="text1"/>
              </w:rPr>
              <w:t>Conduct culvert and bridge assessments in areas with anadromous species and brook trout to determine extent of fish blockages due to road and rail infrastructure.  Add information to the Chesapeake Fish Passage Tool.</w:t>
            </w:r>
          </w:p>
        </w:tc>
        <w:tc>
          <w:tcPr>
            <w:tcW w:w="1800" w:type="dxa"/>
            <w:shd w:val="clear" w:color="auto" w:fill="FFFFFF" w:themeFill="background1"/>
          </w:tcPr>
          <w:p w14:paraId="44242306" w14:textId="669F1358" w:rsidR="002B2FA1" w:rsidRPr="00901C19" w:rsidRDefault="00854C54" w:rsidP="00B1086D">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901C19">
              <w:rPr>
                <w:color w:val="000000" w:themeColor="text1"/>
              </w:rPr>
              <w:t>USFWS, NOAA, Maryland, Virginia and Pennsylvania, American Rivers, TNC</w:t>
            </w:r>
          </w:p>
        </w:tc>
        <w:tc>
          <w:tcPr>
            <w:tcW w:w="1560" w:type="dxa"/>
            <w:shd w:val="clear" w:color="auto" w:fill="FFFFFF" w:themeFill="background1"/>
          </w:tcPr>
          <w:p w14:paraId="07F7282F" w14:textId="3ABB2351" w:rsidR="002B2FA1" w:rsidRDefault="00854C54" w:rsidP="00B1086D">
            <w:pPr>
              <w:spacing w:line="276" w:lineRule="auto"/>
              <w:cnfStyle w:val="000000000000" w:firstRow="0" w:lastRow="0" w:firstColumn="0" w:lastColumn="0" w:oddVBand="0" w:evenVBand="0" w:oddHBand="0" w:evenHBand="0" w:firstRowFirstColumn="0" w:firstRowLastColumn="0" w:lastRowFirstColumn="0" w:lastRowLastColumn="0"/>
            </w:pPr>
            <w:r w:rsidRPr="00854C54">
              <w:t>Entire Chesapeake Bay region</w:t>
            </w:r>
          </w:p>
        </w:tc>
        <w:tc>
          <w:tcPr>
            <w:tcW w:w="1964" w:type="dxa"/>
            <w:shd w:val="clear" w:color="auto" w:fill="FFFFFF" w:themeFill="background1"/>
          </w:tcPr>
          <w:p w14:paraId="51755E6F" w14:textId="77777777" w:rsidR="00854C54" w:rsidRDefault="00854C54" w:rsidP="00854C54">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Ongoing</w:t>
            </w:r>
          </w:p>
          <w:p w14:paraId="42BD63C4" w14:textId="5E874F39" w:rsidR="002B2FA1" w:rsidRDefault="002B2FA1"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2B2FA1" w14:paraId="4027CAE7" w14:textId="77777777" w:rsidTr="26CF01F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60" w:type="dxa"/>
            <w:shd w:val="clear" w:color="auto" w:fill="4472C4" w:themeFill="accent5"/>
          </w:tcPr>
          <w:p w14:paraId="2282A010" w14:textId="77777777" w:rsidR="002B2FA1" w:rsidRDefault="002B2FA1" w:rsidP="00B1086D"/>
        </w:tc>
        <w:tc>
          <w:tcPr>
            <w:tcW w:w="13394" w:type="dxa"/>
            <w:gridSpan w:val="5"/>
            <w:shd w:val="clear" w:color="auto" w:fill="4472C4" w:themeFill="accent5"/>
          </w:tcPr>
          <w:p w14:paraId="3EE5DFA8" w14:textId="5CF79E59" w:rsidR="002B2FA1" w:rsidRDefault="002B2FA1" w:rsidP="00B1086D">
            <w:pPr>
              <w:cnfStyle w:val="000000100000" w:firstRow="0" w:lastRow="0" w:firstColumn="0" w:lastColumn="0" w:oddVBand="0" w:evenVBand="0" w:oddHBand="1" w:evenHBand="0" w:firstRowFirstColumn="0" w:firstRowLastColumn="0" w:lastRowFirstColumn="0" w:lastRowLastColumn="0"/>
            </w:pPr>
            <w:bookmarkStart w:id="4" w:name="_Management_Approach_5:"/>
            <w:bookmarkEnd w:id="4"/>
          </w:p>
        </w:tc>
      </w:tr>
    </w:tbl>
    <w:p w14:paraId="2924F5A5" w14:textId="77777777"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1"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2"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3"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4"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6" w15:restartNumberingAfterBreak="0">
    <w:nsid w:val="62DD7793"/>
    <w:multiLevelType w:val="hybridMultilevel"/>
    <w:tmpl w:val="615C616E"/>
    <w:lvl w:ilvl="0" w:tplc="3606FD6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num w:numId="1">
    <w:abstractNumId w:val="3"/>
  </w:num>
  <w:num w:numId="2">
    <w:abstractNumId w:val="0"/>
  </w:num>
  <w:num w:numId="3">
    <w:abstractNumId w:val="8"/>
  </w:num>
  <w:num w:numId="4">
    <w:abstractNumId w:val="2"/>
  </w:num>
  <w:num w:numId="5">
    <w:abstractNumId w:val="5"/>
  </w:num>
  <w:num w:numId="6">
    <w:abstractNumId w:val="1"/>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33E6F"/>
    <w:rsid w:val="00042D9E"/>
    <w:rsid w:val="0007599B"/>
    <w:rsid w:val="00080D17"/>
    <w:rsid w:val="00087575"/>
    <w:rsid w:val="000B1DA7"/>
    <w:rsid w:val="000D4172"/>
    <w:rsid w:val="000D4FC2"/>
    <w:rsid w:val="00100E64"/>
    <w:rsid w:val="00101478"/>
    <w:rsid w:val="001056DC"/>
    <w:rsid w:val="001B3D02"/>
    <w:rsid w:val="001C0000"/>
    <w:rsid w:val="001D6F68"/>
    <w:rsid w:val="001E6A98"/>
    <w:rsid w:val="001F3946"/>
    <w:rsid w:val="0021394C"/>
    <w:rsid w:val="00231746"/>
    <w:rsid w:val="00243F99"/>
    <w:rsid w:val="002520E2"/>
    <w:rsid w:val="002648D5"/>
    <w:rsid w:val="002827DD"/>
    <w:rsid w:val="002A523B"/>
    <w:rsid w:val="002B2621"/>
    <w:rsid w:val="002B2FA1"/>
    <w:rsid w:val="002F1473"/>
    <w:rsid w:val="00302BF4"/>
    <w:rsid w:val="003037DF"/>
    <w:rsid w:val="003124B3"/>
    <w:rsid w:val="00335885"/>
    <w:rsid w:val="003751A7"/>
    <w:rsid w:val="0039449C"/>
    <w:rsid w:val="003B1321"/>
    <w:rsid w:val="003B2370"/>
    <w:rsid w:val="0041165E"/>
    <w:rsid w:val="00416BA1"/>
    <w:rsid w:val="00454CD6"/>
    <w:rsid w:val="00463345"/>
    <w:rsid w:val="00463F09"/>
    <w:rsid w:val="0047766E"/>
    <w:rsid w:val="004A3FEE"/>
    <w:rsid w:val="004A7685"/>
    <w:rsid w:val="004C168C"/>
    <w:rsid w:val="004D30EC"/>
    <w:rsid w:val="004D5479"/>
    <w:rsid w:val="004F0644"/>
    <w:rsid w:val="004F5A20"/>
    <w:rsid w:val="004F7EC2"/>
    <w:rsid w:val="005229B1"/>
    <w:rsid w:val="00547FAB"/>
    <w:rsid w:val="00560502"/>
    <w:rsid w:val="00560F13"/>
    <w:rsid w:val="005726AF"/>
    <w:rsid w:val="005A2B40"/>
    <w:rsid w:val="005A4FE6"/>
    <w:rsid w:val="005B2384"/>
    <w:rsid w:val="00605D6F"/>
    <w:rsid w:val="00630FB5"/>
    <w:rsid w:val="00636AF9"/>
    <w:rsid w:val="00653E0D"/>
    <w:rsid w:val="006577CA"/>
    <w:rsid w:val="006775D9"/>
    <w:rsid w:val="006A29AE"/>
    <w:rsid w:val="006A2F3D"/>
    <w:rsid w:val="006A7D84"/>
    <w:rsid w:val="006B0C5E"/>
    <w:rsid w:val="006C112C"/>
    <w:rsid w:val="006D63DC"/>
    <w:rsid w:val="00717220"/>
    <w:rsid w:val="00730200"/>
    <w:rsid w:val="00783037"/>
    <w:rsid w:val="007A0BBB"/>
    <w:rsid w:val="007C5A0F"/>
    <w:rsid w:val="007E14C9"/>
    <w:rsid w:val="00807ADB"/>
    <w:rsid w:val="00821122"/>
    <w:rsid w:val="00852557"/>
    <w:rsid w:val="00854C54"/>
    <w:rsid w:val="00876541"/>
    <w:rsid w:val="008A7A49"/>
    <w:rsid w:val="008B5C38"/>
    <w:rsid w:val="008F188D"/>
    <w:rsid w:val="00901C19"/>
    <w:rsid w:val="00916EA5"/>
    <w:rsid w:val="00925DE8"/>
    <w:rsid w:val="0094267B"/>
    <w:rsid w:val="00966C18"/>
    <w:rsid w:val="009947C7"/>
    <w:rsid w:val="009B25D4"/>
    <w:rsid w:val="009D2A03"/>
    <w:rsid w:val="009E18C9"/>
    <w:rsid w:val="00A02A84"/>
    <w:rsid w:val="00A23037"/>
    <w:rsid w:val="00A32B3E"/>
    <w:rsid w:val="00A32E0C"/>
    <w:rsid w:val="00A57C0A"/>
    <w:rsid w:val="00A8145F"/>
    <w:rsid w:val="00AA362D"/>
    <w:rsid w:val="00AB7586"/>
    <w:rsid w:val="00AD4C0D"/>
    <w:rsid w:val="00AE133D"/>
    <w:rsid w:val="00AE3C79"/>
    <w:rsid w:val="00AE4849"/>
    <w:rsid w:val="00AF4205"/>
    <w:rsid w:val="00B00B12"/>
    <w:rsid w:val="00B1086D"/>
    <w:rsid w:val="00B25102"/>
    <w:rsid w:val="00B324B5"/>
    <w:rsid w:val="00B33615"/>
    <w:rsid w:val="00B37EB2"/>
    <w:rsid w:val="00B56446"/>
    <w:rsid w:val="00B67FBE"/>
    <w:rsid w:val="00BD52B0"/>
    <w:rsid w:val="00BE4084"/>
    <w:rsid w:val="00BF0356"/>
    <w:rsid w:val="00BF3A50"/>
    <w:rsid w:val="00C154A6"/>
    <w:rsid w:val="00C3397F"/>
    <w:rsid w:val="00C551D9"/>
    <w:rsid w:val="00C624A1"/>
    <w:rsid w:val="00D2238B"/>
    <w:rsid w:val="00D25A11"/>
    <w:rsid w:val="00D3419F"/>
    <w:rsid w:val="00D467A0"/>
    <w:rsid w:val="00D52F61"/>
    <w:rsid w:val="00D856E3"/>
    <w:rsid w:val="00DB3E82"/>
    <w:rsid w:val="00E065CB"/>
    <w:rsid w:val="00E3235A"/>
    <w:rsid w:val="00E3404C"/>
    <w:rsid w:val="00E46ADD"/>
    <w:rsid w:val="00E81C93"/>
    <w:rsid w:val="00E87BE7"/>
    <w:rsid w:val="00E959B7"/>
    <w:rsid w:val="00EA7039"/>
    <w:rsid w:val="00ED19E2"/>
    <w:rsid w:val="00EF6086"/>
    <w:rsid w:val="00F17AE1"/>
    <w:rsid w:val="00F4123D"/>
    <w:rsid w:val="00F86A9E"/>
    <w:rsid w:val="00F94506"/>
    <w:rsid w:val="00FA4265"/>
    <w:rsid w:val="00FC76E0"/>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237442967">
      <w:bodyDiv w:val="1"/>
      <w:marLeft w:val="0"/>
      <w:marRight w:val="0"/>
      <w:marTop w:val="0"/>
      <w:marBottom w:val="0"/>
      <w:divBdr>
        <w:top w:val="none" w:sz="0" w:space="0" w:color="auto"/>
        <w:left w:val="none" w:sz="0" w:space="0" w:color="auto"/>
        <w:bottom w:val="none" w:sz="0" w:space="0" w:color="auto"/>
        <w:right w:val="none" w:sz="0" w:space="0" w:color="auto"/>
      </w:divBdr>
    </w:div>
    <w:div w:id="296765175">
      <w:bodyDiv w:val="1"/>
      <w:marLeft w:val="0"/>
      <w:marRight w:val="0"/>
      <w:marTop w:val="0"/>
      <w:marBottom w:val="0"/>
      <w:divBdr>
        <w:top w:val="none" w:sz="0" w:space="0" w:color="auto"/>
        <w:left w:val="none" w:sz="0" w:space="0" w:color="auto"/>
        <w:bottom w:val="none" w:sz="0" w:space="0" w:color="auto"/>
        <w:right w:val="none" w:sz="0" w:space="0" w:color="auto"/>
      </w:divBdr>
    </w:div>
    <w:div w:id="379401287">
      <w:bodyDiv w:val="1"/>
      <w:marLeft w:val="0"/>
      <w:marRight w:val="0"/>
      <w:marTop w:val="0"/>
      <w:marBottom w:val="0"/>
      <w:divBdr>
        <w:top w:val="none" w:sz="0" w:space="0" w:color="auto"/>
        <w:left w:val="none" w:sz="0" w:space="0" w:color="auto"/>
        <w:bottom w:val="none" w:sz="0" w:space="0" w:color="auto"/>
        <w:right w:val="none" w:sz="0" w:space="0" w:color="auto"/>
      </w:divBdr>
    </w:div>
    <w:div w:id="67839106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833032899">
      <w:bodyDiv w:val="1"/>
      <w:marLeft w:val="0"/>
      <w:marRight w:val="0"/>
      <w:marTop w:val="0"/>
      <w:marBottom w:val="0"/>
      <w:divBdr>
        <w:top w:val="none" w:sz="0" w:space="0" w:color="auto"/>
        <w:left w:val="none" w:sz="0" w:space="0" w:color="auto"/>
        <w:bottom w:val="none" w:sz="0" w:space="0" w:color="auto"/>
        <w:right w:val="none" w:sz="0" w:space="0" w:color="auto"/>
      </w:divBdr>
    </w:div>
    <w:div w:id="983511729">
      <w:bodyDiv w:val="1"/>
      <w:marLeft w:val="0"/>
      <w:marRight w:val="0"/>
      <w:marTop w:val="0"/>
      <w:marBottom w:val="0"/>
      <w:divBdr>
        <w:top w:val="none" w:sz="0" w:space="0" w:color="auto"/>
        <w:left w:val="none" w:sz="0" w:space="0" w:color="auto"/>
        <w:bottom w:val="none" w:sz="0" w:space="0" w:color="auto"/>
        <w:right w:val="none" w:sz="0" w:space="0" w:color="auto"/>
      </w:divBdr>
    </w:div>
    <w:div w:id="1171868457">
      <w:bodyDiv w:val="1"/>
      <w:marLeft w:val="0"/>
      <w:marRight w:val="0"/>
      <w:marTop w:val="0"/>
      <w:marBottom w:val="0"/>
      <w:divBdr>
        <w:top w:val="none" w:sz="0" w:space="0" w:color="auto"/>
        <w:left w:val="none" w:sz="0" w:space="0" w:color="auto"/>
        <w:bottom w:val="none" w:sz="0" w:space="0" w:color="auto"/>
        <w:right w:val="none" w:sz="0" w:space="0" w:color="auto"/>
      </w:divBdr>
    </w:div>
    <w:div w:id="1209025261">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 w:id="1573394878">
      <w:bodyDiv w:val="1"/>
      <w:marLeft w:val="0"/>
      <w:marRight w:val="0"/>
      <w:marTop w:val="0"/>
      <w:marBottom w:val="0"/>
      <w:divBdr>
        <w:top w:val="none" w:sz="0" w:space="0" w:color="auto"/>
        <w:left w:val="none" w:sz="0" w:space="0" w:color="auto"/>
        <w:bottom w:val="none" w:sz="0" w:space="0" w:color="auto"/>
        <w:right w:val="none" w:sz="0" w:space="0" w:color="auto"/>
      </w:divBdr>
    </w:div>
    <w:div w:id="1723138774">
      <w:bodyDiv w:val="1"/>
      <w:marLeft w:val="0"/>
      <w:marRight w:val="0"/>
      <w:marTop w:val="0"/>
      <w:marBottom w:val="0"/>
      <w:divBdr>
        <w:top w:val="none" w:sz="0" w:space="0" w:color="auto"/>
        <w:left w:val="none" w:sz="0" w:space="0" w:color="auto"/>
        <w:bottom w:val="none" w:sz="0" w:space="0" w:color="auto"/>
        <w:right w:val="none" w:sz="0" w:space="0" w:color="auto"/>
      </w:divBdr>
    </w:div>
    <w:div w:id="1796438137">
      <w:bodyDiv w:val="1"/>
      <w:marLeft w:val="0"/>
      <w:marRight w:val="0"/>
      <w:marTop w:val="0"/>
      <w:marBottom w:val="0"/>
      <w:divBdr>
        <w:top w:val="none" w:sz="0" w:space="0" w:color="auto"/>
        <w:left w:val="none" w:sz="0" w:space="0" w:color="auto"/>
        <w:bottom w:val="none" w:sz="0" w:space="0" w:color="auto"/>
        <w:right w:val="none" w:sz="0" w:space="0" w:color="auto"/>
      </w:divBdr>
    </w:div>
    <w:div w:id="1814327837">
      <w:bodyDiv w:val="1"/>
      <w:marLeft w:val="0"/>
      <w:marRight w:val="0"/>
      <w:marTop w:val="0"/>
      <w:marBottom w:val="0"/>
      <w:divBdr>
        <w:top w:val="none" w:sz="0" w:space="0" w:color="auto"/>
        <w:left w:val="none" w:sz="0" w:space="0" w:color="auto"/>
        <w:bottom w:val="none" w:sz="0" w:space="0" w:color="auto"/>
        <w:right w:val="none" w:sz="0" w:space="0" w:color="auto"/>
      </w:divBdr>
    </w:div>
    <w:div w:id="204054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6" ma:contentTypeDescription="Create a new document." ma:contentTypeScope="" ma:versionID="4df007b2be6c9507a82543c409596f34">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7e45a3aa4b293d86363227b589a61a05"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FF6E-0320-4D3A-B7FD-88E45A932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3.xml><?xml version="1.0" encoding="utf-8"?>
<ds:datastoreItem xmlns:ds="http://schemas.openxmlformats.org/officeDocument/2006/customXml" ds:itemID="{65322F24-75EF-4555-8A5D-85B1715A0A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C3A85A-4885-4132-8A76-C2D41F04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Mary_Andrews</cp:lastModifiedBy>
  <cp:revision>13</cp:revision>
  <cp:lastPrinted>2018-01-05T18:08:00Z</cp:lastPrinted>
  <dcterms:created xsi:type="dcterms:W3CDTF">2018-01-05T16:03:00Z</dcterms:created>
  <dcterms:modified xsi:type="dcterms:W3CDTF">2018-01-18T14:14:00Z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