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6C20E"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tab/>
      </w:r>
      <w:r w:rsidR="003B65D9">
        <w:rPr>
          <w:rFonts w:ascii="Times New Roman" w:hAnsi="Times New Roman"/>
          <w:sz w:val="20"/>
          <w:szCs w:val="20"/>
          <w:u w:val="single"/>
        </w:rPr>
        <w:t>Particulate Phosphorus</w:t>
      </w:r>
    </w:p>
    <w:p w14:paraId="48BF6EDF"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730D4E67"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 \s 1</w:instrText>
      </w:r>
      <w:r>
        <w:rPr>
          <w:rFonts w:ascii="Times New Roman" w:hAnsi="Times New Roman"/>
          <w:sz w:val="20"/>
          <w:szCs w:val="20"/>
        </w:rPr>
        <w:fldChar w:fldCharType="end">
          <w:numberingChange w:id="0" w:author="hcrow" w:date="2011-09-06T13:20:00Z" w:original="a)"/>
        </w:fldChar>
      </w:r>
      <w:r w:rsidR="00D90B36">
        <w:rPr>
          <w:rFonts w:ascii="Times New Roman" w:hAnsi="Times New Roman"/>
          <w:sz w:val="20"/>
          <w:szCs w:val="20"/>
        </w:rPr>
        <w:tab/>
        <w:t>Scope and Application</w:t>
      </w:r>
    </w:p>
    <w:p w14:paraId="6085CD1D"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81AA994" w14:textId="416AFD59" w:rsidR="004F33B6" w:rsidRDefault="00C53096"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szCs w:val="20"/>
        </w:rPr>
      </w:pPr>
      <w:r>
        <w:rPr>
          <w:rFonts w:ascii="Times New Roman" w:hAnsi="Times New Roman"/>
          <w:sz w:val="20"/>
          <w:szCs w:val="20"/>
        </w:rPr>
        <w:t xml:space="preserve">This </w:t>
      </w:r>
      <w:r w:rsidR="00B15EC5">
        <w:rPr>
          <w:rFonts w:ascii="Times New Roman" w:hAnsi="Times New Roman"/>
          <w:sz w:val="20"/>
          <w:szCs w:val="20"/>
        </w:rPr>
        <w:t>method describes</w:t>
      </w:r>
      <w:r w:rsidR="00D90B36">
        <w:rPr>
          <w:rFonts w:ascii="Times New Roman" w:hAnsi="Times New Roman"/>
          <w:sz w:val="20"/>
          <w:szCs w:val="20"/>
        </w:rPr>
        <w:t xml:space="preserve"> the de</w:t>
      </w:r>
      <w:r>
        <w:rPr>
          <w:rFonts w:ascii="Times New Roman" w:hAnsi="Times New Roman"/>
          <w:sz w:val="20"/>
          <w:szCs w:val="20"/>
        </w:rPr>
        <w:t xml:space="preserve">termination of low level </w:t>
      </w:r>
      <w:r w:rsidR="003B65D9">
        <w:rPr>
          <w:rFonts w:ascii="Times New Roman" w:hAnsi="Times New Roman"/>
          <w:sz w:val="20"/>
          <w:szCs w:val="20"/>
        </w:rPr>
        <w:t xml:space="preserve">particulate phosphorus </w:t>
      </w:r>
      <w:r w:rsidR="00D90B36">
        <w:rPr>
          <w:rFonts w:ascii="Times New Roman" w:hAnsi="Times New Roman"/>
          <w:sz w:val="20"/>
          <w:szCs w:val="20"/>
        </w:rPr>
        <w:t>normally found in estuarine and/or coastal waters.</w:t>
      </w:r>
    </w:p>
    <w:p w14:paraId="01E856A8"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49510DDF" w14:textId="77777777" w:rsidR="00480F8E" w:rsidRDefault="00480F8E"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szCs w:val="20"/>
        </w:rPr>
      </w:pPr>
      <w:r>
        <w:rPr>
          <w:rFonts w:ascii="Times New Roman" w:hAnsi="Times New Roman"/>
          <w:sz w:val="20"/>
          <w:szCs w:val="20"/>
        </w:rPr>
        <w:t>The applicable range is 0.01 to 2.0 mg P/L.</w:t>
      </w:r>
    </w:p>
    <w:p w14:paraId="458E0F9C"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75F9BE38" w14:textId="77777777" w:rsidR="00D90B36" w:rsidRDefault="000F4D53"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szCs w:val="20"/>
        </w:rPr>
      </w:pPr>
      <w:r w:rsidRPr="004F33B6">
        <w:rPr>
          <w:rFonts w:ascii="Times New Roman" w:hAnsi="Times New Roman"/>
          <w:sz w:val="20"/>
          <w:szCs w:val="20"/>
        </w:rPr>
        <w:t>The method detection limit</w:t>
      </w:r>
      <w:r w:rsidR="00D503F9" w:rsidRPr="004F33B6">
        <w:rPr>
          <w:rFonts w:ascii="Times New Roman" w:hAnsi="Times New Roman"/>
          <w:sz w:val="20"/>
          <w:szCs w:val="20"/>
        </w:rPr>
        <w:t>s</w:t>
      </w:r>
      <w:r w:rsidRPr="004F33B6">
        <w:rPr>
          <w:rFonts w:ascii="Times New Roman" w:hAnsi="Times New Roman"/>
          <w:sz w:val="20"/>
          <w:szCs w:val="20"/>
        </w:rPr>
        <w:t xml:space="preserve"> (MDL) </w:t>
      </w:r>
      <w:r w:rsidR="00D503F9" w:rsidRPr="004F33B6">
        <w:rPr>
          <w:rFonts w:ascii="Times New Roman" w:hAnsi="Times New Roman"/>
          <w:sz w:val="20"/>
          <w:szCs w:val="20"/>
        </w:rPr>
        <w:t>are</w:t>
      </w:r>
      <w:r w:rsidRPr="004F33B6">
        <w:rPr>
          <w:rFonts w:ascii="Times New Roman" w:hAnsi="Times New Roman"/>
          <w:sz w:val="20"/>
          <w:szCs w:val="20"/>
        </w:rPr>
        <w:t xml:space="preserve"> determined on a yearly basis</w:t>
      </w:r>
      <w:r w:rsidR="00D503F9" w:rsidRPr="004F33B6">
        <w:rPr>
          <w:rFonts w:ascii="Times New Roman" w:hAnsi="Times New Roman"/>
          <w:sz w:val="20"/>
          <w:szCs w:val="20"/>
        </w:rPr>
        <w:t>, and should be established using the guidelines in Chapter VI, Section C.</w:t>
      </w:r>
    </w:p>
    <w:p w14:paraId="09034F6D"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F0ABD6C" w14:textId="77777777" w:rsidR="004F33B6" w:rsidRDefault="00D90B36"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szCs w:val="20"/>
        </w:rPr>
      </w:pPr>
      <w:r w:rsidRPr="004F33B6">
        <w:rPr>
          <w:rFonts w:ascii="Times New Roman" w:hAnsi="Times New Roman"/>
          <w:sz w:val="20"/>
          <w:szCs w:val="20"/>
        </w:rPr>
        <w:t>This method should be used by analysts exp</w:t>
      </w:r>
      <w:r w:rsidR="0075095E" w:rsidRPr="004F33B6">
        <w:rPr>
          <w:rFonts w:ascii="Times New Roman" w:hAnsi="Times New Roman"/>
          <w:sz w:val="20"/>
          <w:szCs w:val="20"/>
        </w:rPr>
        <w:t xml:space="preserve">erienced in the use of </w:t>
      </w:r>
      <w:r w:rsidRPr="004F33B6">
        <w:rPr>
          <w:rFonts w:ascii="Times New Roman" w:hAnsi="Times New Roman"/>
          <w:sz w:val="20"/>
          <w:szCs w:val="20"/>
        </w:rPr>
        <w:t>colorimetric analyses, matrix interferences and procedures for their correction.</w:t>
      </w:r>
      <w:r w:rsidR="0075095E" w:rsidRPr="004F33B6">
        <w:rPr>
          <w:rFonts w:ascii="Times New Roman" w:hAnsi="Times New Roman"/>
          <w:sz w:val="20"/>
          <w:szCs w:val="20"/>
        </w:rPr>
        <w:t xml:space="preserve"> </w:t>
      </w:r>
      <w:r w:rsidR="00336ECC" w:rsidRPr="004F33B6">
        <w:rPr>
          <w:rFonts w:ascii="Times New Roman" w:hAnsi="Times New Roman"/>
          <w:sz w:val="20"/>
          <w:szCs w:val="20"/>
        </w:rPr>
        <w:t>Analyst</w:t>
      </w:r>
      <w:r w:rsidR="0011607B" w:rsidRPr="004F33B6">
        <w:rPr>
          <w:rFonts w:ascii="Times New Roman" w:hAnsi="Times New Roman"/>
          <w:sz w:val="20"/>
          <w:szCs w:val="20"/>
        </w:rPr>
        <w:t xml:space="preserve"> training and/or a demonstration of capability should be documented.</w:t>
      </w:r>
    </w:p>
    <w:p w14:paraId="3A11B43F" w14:textId="77777777" w:rsidR="004F33B6" w:rsidRDefault="004F33B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43CB0D3" w14:textId="77777777" w:rsidR="00C53096" w:rsidRPr="004F33B6" w:rsidRDefault="00AF5BE2" w:rsidP="006B72E2">
      <w:pPr>
        <w:numPr>
          <w:ilvl w:val="1"/>
          <w:numId w:val="11"/>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hanging="540"/>
        <w:rPr>
          <w:rFonts w:ascii="Times New Roman" w:hAnsi="Times New Roman"/>
          <w:sz w:val="20"/>
          <w:szCs w:val="20"/>
        </w:rPr>
      </w:pPr>
      <w:r w:rsidRPr="004F33B6">
        <w:rPr>
          <w:rFonts w:ascii="Times New Roman" w:hAnsi="Times New Roman"/>
          <w:sz w:val="20"/>
          <w:szCs w:val="20"/>
        </w:rPr>
        <w:t>The r</w:t>
      </w:r>
      <w:r w:rsidR="00C53096" w:rsidRPr="004F33B6">
        <w:rPr>
          <w:rFonts w:ascii="Times New Roman" w:hAnsi="Times New Roman"/>
          <w:sz w:val="20"/>
          <w:szCs w:val="20"/>
        </w:rPr>
        <w:t>eaction chemistry described may be used with segmented flow, flow injection, manual spectrophotometric</w:t>
      </w:r>
      <w:r w:rsidR="0075095E" w:rsidRPr="004F33B6">
        <w:rPr>
          <w:rFonts w:ascii="Times New Roman" w:hAnsi="Times New Roman"/>
          <w:sz w:val="20"/>
          <w:szCs w:val="20"/>
        </w:rPr>
        <w:t xml:space="preserve"> and discrete instrumentation.</w:t>
      </w:r>
    </w:p>
    <w:p w14:paraId="3758639F" w14:textId="77777777" w:rsidR="00D90B36" w:rsidRPr="004D1424"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4F2A3DA"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1" w:author="hcrow" w:date="2011-09-06T13:20:00Z" w:original="b)"/>
        </w:fldChar>
      </w:r>
      <w:r w:rsidR="00D90B36">
        <w:rPr>
          <w:rFonts w:ascii="Times New Roman" w:hAnsi="Times New Roman"/>
          <w:sz w:val="20"/>
          <w:szCs w:val="20"/>
        </w:rPr>
        <w:tab/>
        <w:t>Summary of Method</w:t>
      </w:r>
    </w:p>
    <w:p w14:paraId="7B84BAE8"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2E0358E2" w14:textId="725E5DF7" w:rsidR="00D90B36" w:rsidRDefault="002A53ED" w:rsidP="006B72E2">
      <w:pPr>
        <w:pStyle w:val="ListParagraph"/>
        <w:numPr>
          <w:ilvl w:val="1"/>
          <w:numId w:val="14"/>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Particulates in a known volume of s</w:t>
      </w:r>
      <w:r w:rsidR="004F33B6">
        <w:rPr>
          <w:rFonts w:ascii="Times New Roman" w:hAnsi="Times New Roman"/>
          <w:sz w:val="20"/>
          <w:szCs w:val="20"/>
        </w:rPr>
        <w:t xml:space="preserve">ample are concentrated on a 0.7 </w:t>
      </w:r>
      <w:r>
        <w:rPr>
          <w:rFonts w:ascii="Times New Roman" w:hAnsi="Times New Roman"/>
          <w:sz w:val="20"/>
          <w:szCs w:val="20"/>
        </w:rPr>
        <w:t xml:space="preserve">µm glass fiber filter. The filters are combusted at 550°C to oxidize organic and inorganic phosphorus compounds to orthophosphate and then extracted in dilute </w:t>
      </w:r>
      <w:proofErr w:type="spellStart"/>
      <w:r>
        <w:rPr>
          <w:rFonts w:ascii="Times New Roman" w:hAnsi="Times New Roman"/>
          <w:sz w:val="20"/>
          <w:szCs w:val="20"/>
        </w:rPr>
        <w:t>HCl</w:t>
      </w:r>
      <w:proofErr w:type="spellEnd"/>
      <w:r>
        <w:rPr>
          <w:rFonts w:ascii="Times New Roman" w:hAnsi="Times New Roman"/>
          <w:sz w:val="20"/>
          <w:szCs w:val="20"/>
        </w:rPr>
        <w:t xml:space="preserve">. Dissolved orthophosphate in the extract </w:t>
      </w:r>
      <w:r w:rsidR="00AB5565">
        <w:rPr>
          <w:rFonts w:ascii="Times New Roman" w:hAnsi="Times New Roman"/>
          <w:sz w:val="20"/>
          <w:szCs w:val="20"/>
        </w:rPr>
        <w:t>react</w:t>
      </w:r>
      <w:r w:rsidR="004F33B6">
        <w:rPr>
          <w:rFonts w:ascii="Times New Roman" w:hAnsi="Times New Roman"/>
          <w:sz w:val="20"/>
          <w:szCs w:val="20"/>
        </w:rPr>
        <w:t>s</w:t>
      </w:r>
      <w:r w:rsidR="00AB5565">
        <w:rPr>
          <w:rFonts w:ascii="Times New Roman" w:hAnsi="Times New Roman"/>
          <w:sz w:val="20"/>
          <w:szCs w:val="20"/>
        </w:rPr>
        <w:t xml:space="preserve"> with ammonium </w:t>
      </w:r>
      <w:proofErr w:type="spellStart"/>
      <w:r w:rsidR="00AB5565">
        <w:rPr>
          <w:rFonts w:ascii="Times New Roman" w:hAnsi="Times New Roman"/>
          <w:sz w:val="20"/>
          <w:szCs w:val="20"/>
        </w:rPr>
        <w:t>molybdate</w:t>
      </w:r>
      <w:proofErr w:type="spellEnd"/>
      <w:r w:rsidR="00AB5565">
        <w:rPr>
          <w:rFonts w:ascii="Times New Roman" w:hAnsi="Times New Roman"/>
          <w:sz w:val="20"/>
          <w:szCs w:val="20"/>
        </w:rPr>
        <w:t xml:space="preserve"> </w:t>
      </w:r>
      <w:r w:rsidR="004F33B6">
        <w:rPr>
          <w:rFonts w:ascii="Times New Roman" w:hAnsi="Times New Roman"/>
          <w:sz w:val="20"/>
          <w:szCs w:val="20"/>
        </w:rPr>
        <w:t>and antimony potassium tartrate</w:t>
      </w:r>
      <w:r w:rsidR="00843273">
        <w:rPr>
          <w:rFonts w:ascii="Times New Roman" w:hAnsi="Times New Roman"/>
          <w:sz w:val="20"/>
          <w:szCs w:val="20"/>
        </w:rPr>
        <w:t xml:space="preserve"> to form a complex. This complex </w:t>
      </w:r>
      <w:r w:rsidR="008B691E">
        <w:rPr>
          <w:rFonts w:ascii="Times New Roman" w:hAnsi="Times New Roman"/>
          <w:sz w:val="20"/>
          <w:szCs w:val="20"/>
        </w:rPr>
        <w:t xml:space="preserve">is then reduced by </w:t>
      </w:r>
      <w:r w:rsidR="004F33B6">
        <w:rPr>
          <w:rFonts w:ascii="Times New Roman" w:hAnsi="Times New Roman"/>
          <w:sz w:val="20"/>
          <w:szCs w:val="20"/>
        </w:rPr>
        <w:t xml:space="preserve">ascorbic acid </w:t>
      </w:r>
      <w:r w:rsidR="008B691E">
        <w:rPr>
          <w:rFonts w:ascii="Times New Roman" w:hAnsi="Times New Roman"/>
          <w:sz w:val="20"/>
          <w:szCs w:val="20"/>
        </w:rPr>
        <w:t>to form an</w:t>
      </w:r>
      <w:r w:rsidR="004F33B6">
        <w:rPr>
          <w:rFonts w:ascii="Times New Roman" w:hAnsi="Times New Roman"/>
          <w:sz w:val="20"/>
          <w:szCs w:val="20"/>
        </w:rPr>
        <w:t xml:space="preserve"> intense</w:t>
      </w:r>
      <w:r w:rsidR="00AB5565">
        <w:rPr>
          <w:rFonts w:ascii="Times New Roman" w:hAnsi="Times New Roman"/>
          <w:sz w:val="20"/>
          <w:szCs w:val="20"/>
        </w:rPr>
        <w:t xml:space="preserve"> blue-colored </w:t>
      </w:r>
      <w:r w:rsidR="00843273">
        <w:rPr>
          <w:rFonts w:ascii="Times New Roman" w:hAnsi="Times New Roman"/>
          <w:sz w:val="20"/>
          <w:szCs w:val="20"/>
        </w:rPr>
        <w:t>compound</w:t>
      </w:r>
      <w:r w:rsidR="00AB5565">
        <w:rPr>
          <w:rFonts w:ascii="Times New Roman" w:hAnsi="Times New Roman"/>
          <w:sz w:val="20"/>
          <w:szCs w:val="20"/>
        </w:rPr>
        <w:t xml:space="preserve">. The color is </w:t>
      </w:r>
      <w:r w:rsidR="0075095E" w:rsidRPr="0075095E">
        <w:rPr>
          <w:rFonts w:ascii="Times New Roman" w:hAnsi="Times New Roman"/>
          <w:sz w:val="20"/>
          <w:szCs w:val="20"/>
        </w:rPr>
        <w:t xml:space="preserve">proportional to the </w:t>
      </w:r>
      <w:r w:rsidR="00AB5565">
        <w:rPr>
          <w:rFonts w:ascii="Times New Roman" w:hAnsi="Times New Roman"/>
          <w:sz w:val="20"/>
          <w:szCs w:val="20"/>
        </w:rPr>
        <w:t>phosphorus</w:t>
      </w:r>
      <w:r w:rsidR="0075095E" w:rsidRPr="0075095E">
        <w:rPr>
          <w:rFonts w:ascii="Times New Roman" w:hAnsi="Times New Roman"/>
          <w:sz w:val="20"/>
          <w:szCs w:val="20"/>
        </w:rPr>
        <w:t xml:space="preserve"> concentration present</w:t>
      </w:r>
      <w:r w:rsidR="00843273">
        <w:rPr>
          <w:rFonts w:ascii="Times New Roman" w:hAnsi="Times New Roman"/>
          <w:sz w:val="20"/>
          <w:szCs w:val="20"/>
        </w:rPr>
        <w:t xml:space="preserve"> in the sample</w:t>
      </w:r>
      <w:r w:rsidR="0075095E" w:rsidRPr="0075095E">
        <w:rPr>
          <w:rFonts w:ascii="Times New Roman" w:hAnsi="Times New Roman"/>
          <w:sz w:val="20"/>
          <w:szCs w:val="20"/>
        </w:rPr>
        <w:t>.</w:t>
      </w:r>
      <w:r w:rsidR="009A0EF1">
        <w:rPr>
          <w:rFonts w:ascii="Times New Roman" w:hAnsi="Times New Roman"/>
          <w:sz w:val="20"/>
          <w:szCs w:val="20"/>
        </w:rPr>
        <w:t xml:space="preserve"> The colorimetric procedure conforms to EPA Method 365.1 (19</w:t>
      </w:r>
      <w:r w:rsidR="00843273">
        <w:rPr>
          <w:rFonts w:ascii="Times New Roman" w:hAnsi="Times New Roman"/>
          <w:sz w:val="20"/>
          <w:szCs w:val="20"/>
        </w:rPr>
        <w:t>93</w:t>
      </w:r>
      <w:r w:rsidR="009A0EF1">
        <w:rPr>
          <w:rFonts w:ascii="Times New Roman" w:hAnsi="Times New Roman"/>
          <w:sz w:val="20"/>
          <w:szCs w:val="20"/>
        </w:rPr>
        <w:t>).</w:t>
      </w:r>
    </w:p>
    <w:p w14:paraId="5175A0A8" w14:textId="77777777" w:rsidR="004F33B6" w:rsidRDefault="004F33B6" w:rsidP="006B72E2">
      <w:pPr>
        <w:pStyle w:val="ListParagraph"/>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28A11C9B" w14:textId="67FE167A" w:rsidR="0075095E" w:rsidRDefault="0075095E" w:rsidP="006B72E2">
      <w:pPr>
        <w:pStyle w:val="ListParagraph"/>
        <w:numPr>
          <w:ilvl w:val="1"/>
          <w:numId w:val="14"/>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r w:rsidRPr="004F33B6">
        <w:rPr>
          <w:rFonts w:ascii="Times New Roman" w:hAnsi="Times New Roman"/>
          <w:sz w:val="20"/>
          <w:szCs w:val="20"/>
        </w:rPr>
        <w:t>After a defined reaction period, either through continuous flow or by timing, the color is</w:t>
      </w:r>
      <w:r w:rsidR="00341472">
        <w:rPr>
          <w:rFonts w:ascii="Times New Roman" w:hAnsi="Times New Roman"/>
          <w:sz w:val="20"/>
          <w:szCs w:val="20"/>
        </w:rPr>
        <w:t xml:space="preserve"> measured spectrophotometrically at 880 nm.</w:t>
      </w:r>
    </w:p>
    <w:p w14:paraId="41A74A2D" w14:textId="73C17DD0"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49D58234"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2" w:author="hcrow" w:date="2011-09-06T13:20:00Z" w:original="c)"/>
        </w:fldChar>
      </w:r>
      <w:r w:rsidR="00D90B36">
        <w:rPr>
          <w:rFonts w:ascii="Times New Roman" w:hAnsi="Times New Roman"/>
          <w:sz w:val="20"/>
          <w:szCs w:val="20"/>
        </w:rPr>
        <w:tab/>
        <w:t>Interferences</w:t>
      </w:r>
    </w:p>
    <w:p w14:paraId="1EF0E746"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6415F10" w14:textId="77777777" w:rsidR="00E52C1F" w:rsidRDefault="00E52C1F"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Sample turbidity should be removed by filtration prior to analysis.</w:t>
      </w:r>
    </w:p>
    <w:p w14:paraId="3D921418" w14:textId="77777777" w:rsidR="00E52C1F" w:rsidRDefault="00E52C1F"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1AE52EDD" w14:textId="38AED678" w:rsidR="00D90B36" w:rsidRDefault="00197DA1"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Silicon concentrations </w:t>
      </w:r>
      <w:proofErr w:type="gramStart"/>
      <w:r>
        <w:rPr>
          <w:rFonts w:ascii="Times New Roman" w:hAnsi="Times New Roman"/>
          <w:sz w:val="20"/>
          <w:szCs w:val="20"/>
        </w:rPr>
        <w:t xml:space="preserve">of 100 </w:t>
      </w:r>
      <w:r w:rsidRPr="00197DA1">
        <w:rPr>
          <w:rFonts w:ascii="Symbol" w:hAnsi="Symbol"/>
          <w:sz w:val="20"/>
          <w:szCs w:val="20"/>
        </w:rPr>
        <w:t></w:t>
      </w:r>
      <w:r>
        <w:rPr>
          <w:rFonts w:ascii="Times New Roman" w:hAnsi="Times New Roman"/>
          <w:sz w:val="20"/>
          <w:szCs w:val="20"/>
        </w:rPr>
        <w:t>g/L</w:t>
      </w:r>
      <w:proofErr w:type="gramEnd"/>
      <w:r>
        <w:rPr>
          <w:rFonts w:ascii="Times New Roman" w:hAnsi="Times New Roman"/>
          <w:sz w:val="20"/>
          <w:szCs w:val="20"/>
        </w:rPr>
        <w:t xml:space="preserve"> or more cause an interference equivalent to approximately 0.04 </w:t>
      </w:r>
      <w:r w:rsidRPr="009B1EEF">
        <w:rPr>
          <w:rFonts w:ascii="Symbol" w:hAnsi="Symbol"/>
          <w:sz w:val="20"/>
          <w:szCs w:val="20"/>
        </w:rPr>
        <w:t></w:t>
      </w:r>
      <w:r>
        <w:rPr>
          <w:rFonts w:ascii="Times New Roman" w:hAnsi="Times New Roman"/>
          <w:sz w:val="20"/>
          <w:szCs w:val="20"/>
        </w:rPr>
        <w:t>g/L of P</w:t>
      </w:r>
      <w:r w:rsidR="009B1EEF">
        <w:rPr>
          <w:rFonts w:ascii="Times New Roman" w:hAnsi="Times New Roman"/>
          <w:sz w:val="20"/>
          <w:szCs w:val="20"/>
        </w:rPr>
        <w:t>. Maintaining an acid concentration of 2.45N sulfuric acid in the reagents, and performing the analysis at 37</w:t>
      </w:r>
      <w:r w:rsidR="00C826F3">
        <w:rPr>
          <w:rFonts w:ascii="Times New Roman" w:hAnsi="Times New Roman"/>
          <w:sz w:val="20"/>
          <w:szCs w:val="20"/>
        </w:rPr>
        <w:t>º</w:t>
      </w:r>
      <w:r w:rsidR="009B1EEF">
        <w:rPr>
          <w:rFonts w:ascii="Times New Roman" w:hAnsi="Times New Roman"/>
          <w:sz w:val="20"/>
          <w:szCs w:val="20"/>
        </w:rPr>
        <w:t xml:space="preserve">C can </w:t>
      </w:r>
      <w:r w:rsidR="00C826F3">
        <w:rPr>
          <w:rFonts w:ascii="Times New Roman" w:hAnsi="Times New Roman"/>
          <w:sz w:val="20"/>
          <w:szCs w:val="20"/>
        </w:rPr>
        <w:t>avoid this interference</w:t>
      </w:r>
      <w:r w:rsidR="00F65186">
        <w:rPr>
          <w:rFonts w:ascii="Times New Roman" w:hAnsi="Times New Roman"/>
          <w:sz w:val="20"/>
          <w:szCs w:val="20"/>
        </w:rPr>
        <w:t>.</w:t>
      </w:r>
      <w:r w:rsidR="00C826F3">
        <w:rPr>
          <w:rFonts w:ascii="Times New Roman" w:hAnsi="Times New Roman"/>
          <w:sz w:val="20"/>
          <w:szCs w:val="20"/>
        </w:rPr>
        <w:t xml:space="preserve"> SKALAR analysis is done at 40ºC</w:t>
      </w:r>
      <w:r w:rsidR="00843273">
        <w:rPr>
          <w:rFonts w:ascii="Times New Roman" w:hAnsi="Times New Roman"/>
          <w:sz w:val="20"/>
          <w:szCs w:val="20"/>
        </w:rPr>
        <w:t>.</w:t>
      </w:r>
    </w:p>
    <w:p w14:paraId="01EE38B7" w14:textId="77777777" w:rsidR="00EA639B" w:rsidRDefault="00EA639B"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3AC3EB4" w14:textId="3759B56A" w:rsidR="00EA639B" w:rsidRDefault="00EA639B"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High</w:t>
      </w:r>
      <w:r w:rsidR="007652B8">
        <w:rPr>
          <w:rFonts w:ascii="Times New Roman" w:hAnsi="Times New Roman"/>
          <w:sz w:val="20"/>
          <w:szCs w:val="20"/>
        </w:rPr>
        <w:t xml:space="preserve"> iron concentrations can </w:t>
      </w:r>
      <w:r w:rsidR="00527535">
        <w:rPr>
          <w:rFonts w:ascii="Times New Roman" w:hAnsi="Times New Roman"/>
          <w:sz w:val="20"/>
          <w:szCs w:val="20"/>
        </w:rPr>
        <w:t xml:space="preserve">lead to </w:t>
      </w:r>
      <w:r w:rsidR="007652B8">
        <w:rPr>
          <w:rFonts w:ascii="Times New Roman" w:hAnsi="Times New Roman"/>
          <w:sz w:val="20"/>
          <w:szCs w:val="20"/>
        </w:rPr>
        <w:t>precipitation and loss of phosphorus in samples.</w:t>
      </w:r>
    </w:p>
    <w:p w14:paraId="6FE2528C" w14:textId="77777777" w:rsidR="007652B8" w:rsidRDefault="007652B8"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2F971A39" w14:textId="1CA8AA90" w:rsidR="007652B8" w:rsidRDefault="007652B8" w:rsidP="006B72E2">
      <w:pPr>
        <w:numPr>
          <w:ilvl w:val="0"/>
          <w:numId w:val="15"/>
        </w:num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Refractive index correction is not necessary </w:t>
      </w:r>
      <w:r w:rsidRPr="001E30C8">
        <w:rPr>
          <w:rFonts w:ascii="Times New Roman" w:hAnsi="Times New Roman"/>
          <w:sz w:val="20"/>
          <w:szCs w:val="20"/>
          <w:highlight w:val="yellow"/>
        </w:rPr>
        <w:t>(</w:t>
      </w:r>
      <w:r w:rsidR="001E30C8" w:rsidRPr="001E30C8">
        <w:rPr>
          <w:rFonts w:ascii="Times New Roman" w:hAnsi="Times New Roman"/>
          <w:sz w:val="20"/>
          <w:szCs w:val="20"/>
          <w:highlight w:val="yellow"/>
        </w:rPr>
        <w:t>EPA 365.5 does have this requirement)</w:t>
      </w:r>
      <w:r w:rsidR="001E30C8">
        <w:rPr>
          <w:rFonts w:ascii="Times New Roman" w:hAnsi="Times New Roman"/>
          <w:sz w:val="20"/>
          <w:szCs w:val="20"/>
        </w:rPr>
        <w:t>.</w:t>
      </w:r>
    </w:p>
    <w:p w14:paraId="6543A43B" w14:textId="77777777" w:rsidR="00D90B36" w:rsidRDefault="00D90B36" w:rsidP="006B72E2">
      <w:pPr>
        <w:tabs>
          <w:tab w:val="left" w:pos="-1440"/>
          <w:tab w:val="left" w:pos="-720"/>
          <w:tab w:val="left" w:pos="0"/>
          <w:tab w:val="left" w:pos="600"/>
          <w:tab w:val="left" w:pos="1440"/>
          <w:tab w:val="left" w:pos="2760"/>
          <w:tab w:val="left" w:pos="4200"/>
          <w:tab w:val="left" w:pos="5040"/>
          <w:tab w:val="left" w:pos="5760"/>
          <w:tab w:val="left" w:pos="6480"/>
          <w:tab w:val="left" w:pos="7200"/>
          <w:tab w:val="left" w:pos="7920"/>
          <w:tab w:val="left" w:pos="8640"/>
          <w:tab w:val="left" w:pos="9360"/>
        </w:tabs>
        <w:ind w:left="1440" w:hanging="360"/>
        <w:rPr>
          <w:rFonts w:ascii="Times New Roman" w:hAnsi="Times New Roman"/>
          <w:sz w:val="20"/>
          <w:szCs w:val="20"/>
        </w:rPr>
      </w:pPr>
    </w:p>
    <w:p w14:paraId="12CBFFD7" w14:textId="344F183B" w:rsidR="00D90B36" w:rsidRDefault="00F6518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ab/>
      </w:r>
    </w:p>
    <w:p w14:paraId="372296AD"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3" w:author="hcrow" w:date="2011-09-06T13:20:00Z" w:original="d)"/>
        </w:fldChar>
      </w:r>
      <w:r w:rsidR="00D90B36">
        <w:rPr>
          <w:rFonts w:ascii="Times New Roman" w:hAnsi="Times New Roman"/>
          <w:sz w:val="20"/>
          <w:szCs w:val="20"/>
        </w:rPr>
        <w:tab/>
        <w:t>Apparatus and Materials</w:t>
      </w:r>
    </w:p>
    <w:p w14:paraId="44FB2DD5"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6962B886" w14:textId="46204C31" w:rsidR="000306A0" w:rsidRDefault="000306A0"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Automated analytical systems such as a continuous segmented flow analyzer, flow analyzer, flow injection analyzer or discrete analyzer equipped with an </w:t>
      </w:r>
      <w:proofErr w:type="spellStart"/>
      <w:r>
        <w:rPr>
          <w:rFonts w:ascii="Times New Roman" w:hAnsi="Times New Roman"/>
          <w:sz w:val="20"/>
          <w:szCs w:val="20"/>
        </w:rPr>
        <w:t>autosampler</w:t>
      </w:r>
      <w:proofErr w:type="spellEnd"/>
      <w:r>
        <w:rPr>
          <w:rFonts w:ascii="Times New Roman" w:hAnsi="Times New Roman"/>
          <w:sz w:val="20"/>
          <w:szCs w:val="20"/>
        </w:rPr>
        <w:t xml:space="preserve">, reagent addition and mixing </w:t>
      </w:r>
      <w:r w:rsidR="00A92C98">
        <w:rPr>
          <w:rFonts w:ascii="Times New Roman" w:hAnsi="Times New Roman"/>
          <w:sz w:val="20"/>
          <w:szCs w:val="20"/>
        </w:rPr>
        <w:t xml:space="preserve">components, heating bath, colorimeter, phototube </w:t>
      </w:r>
      <w:r w:rsidR="009054ED">
        <w:rPr>
          <w:rFonts w:ascii="Times New Roman" w:hAnsi="Times New Roman"/>
          <w:sz w:val="20"/>
          <w:szCs w:val="20"/>
        </w:rPr>
        <w:t>and computer-based data system.</w:t>
      </w:r>
    </w:p>
    <w:p w14:paraId="326A0FDF"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3F0EA7C2" w14:textId="1F9638EE" w:rsidR="008A7714" w:rsidRDefault="00461D1F"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All glassware used in the determination must be low in residual phosphate to avoid sample or reagent contamination. Washing with 10% </w:t>
      </w:r>
      <w:proofErr w:type="spellStart"/>
      <w:r>
        <w:rPr>
          <w:rFonts w:ascii="Times New Roman" w:hAnsi="Times New Roman"/>
          <w:sz w:val="20"/>
          <w:szCs w:val="20"/>
        </w:rPr>
        <w:t>HCl</w:t>
      </w:r>
      <w:proofErr w:type="spellEnd"/>
      <w:r>
        <w:rPr>
          <w:rFonts w:ascii="Times New Roman" w:hAnsi="Times New Roman"/>
          <w:sz w:val="20"/>
          <w:szCs w:val="20"/>
        </w:rPr>
        <w:t xml:space="preserve"> and thoroughly rinsing with reagent water has been found to be effective. A laboratory’s glassware cleaning method will be considered sufficient if all quality control samples are within the expected ranges.</w:t>
      </w:r>
    </w:p>
    <w:p w14:paraId="29EF9E4D"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36125225" w14:textId="77E63319" w:rsidR="008A1FDE" w:rsidRDefault="008A1FDE"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roofErr w:type="spellStart"/>
      <w:r>
        <w:rPr>
          <w:rFonts w:ascii="Times New Roman" w:hAnsi="Times New Roman"/>
          <w:sz w:val="20"/>
          <w:szCs w:val="20"/>
        </w:rPr>
        <w:lastRenderedPageBreak/>
        <w:t>Autoanalyzer</w:t>
      </w:r>
      <w:proofErr w:type="spellEnd"/>
      <w:r>
        <w:rPr>
          <w:rFonts w:ascii="Times New Roman" w:hAnsi="Times New Roman"/>
          <w:sz w:val="20"/>
          <w:szCs w:val="20"/>
        </w:rPr>
        <w:t xml:space="preserve"> cups that are pre-rinsed two-three times with sample prior to being filled.</w:t>
      </w:r>
    </w:p>
    <w:p w14:paraId="47A2CC52"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11243BF6" w14:textId="61FD6677" w:rsidR="00A3698A" w:rsidRDefault="00A3698A"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Glass fiber filters, </w:t>
      </w:r>
      <w:r w:rsidRPr="00502349">
        <w:rPr>
          <w:rFonts w:ascii="Times New Roman" w:hAnsi="Times New Roman"/>
          <w:sz w:val="20"/>
          <w:szCs w:val="20"/>
          <w:highlight w:val="yellow"/>
        </w:rPr>
        <w:t>47 or 25 mm</w:t>
      </w:r>
      <w:r>
        <w:rPr>
          <w:rFonts w:ascii="Times New Roman" w:hAnsi="Times New Roman"/>
          <w:sz w:val="20"/>
          <w:szCs w:val="20"/>
        </w:rPr>
        <w:t xml:space="preserve">, 0.7 </w:t>
      </w:r>
      <w:r w:rsidRPr="00502349">
        <w:rPr>
          <w:rFonts w:ascii="Symbol" w:hAnsi="Symbol"/>
          <w:sz w:val="20"/>
          <w:szCs w:val="20"/>
        </w:rPr>
        <w:t></w:t>
      </w:r>
      <w:r>
        <w:rPr>
          <w:rFonts w:ascii="Times New Roman" w:hAnsi="Times New Roman"/>
          <w:sz w:val="20"/>
          <w:szCs w:val="20"/>
        </w:rPr>
        <w:t>m pore size.</w:t>
      </w:r>
    </w:p>
    <w:p w14:paraId="54033CD9"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70F30545" w14:textId="735D1F55" w:rsidR="00502349" w:rsidRDefault="00502349"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Muffle furnace capable of maintaining temperatures of 550 ± 50ºC.</w:t>
      </w:r>
    </w:p>
    <w:p w14:paraId="533B27DD"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4EF8C3F" w14:textId="15DC0E03" w:rsidR="007143E6" w:rsidRDefault="0045654C" w:rsidP="006B72E2">
      <w:pPr>
        <w:numPr>
          <w:ilvl w:val="0"/>
          <w:numId w:val="16"/>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Vacuum filter apparatus</w:t>
      </w:r>
      <w:r w:rsidR="008A1FDE">
        <w:rPr>
          <w:rFonts w:ascii="Times New Roman" w:hAnsi="Times New Roman"/>
          <w:sz w:val="20"/>
          <w:szCs w:val="20"/>
        </w:rPr>
        <w:t xml:space="preserve"> with a minimum capacity of 100 </w:t>
      </w:r>
      <w:proofErr w:type="spellStart"/>
      <w:r w:rsidR="008A1FDE">
        <w:rPr>
          <w:rFonts w:ascii="Times New Roman" w:hAnsi="Times New Roman"/>
          <w:sz w:val="20"/>
          <w:szCs w:val="20"/>
        </w:rPr>
        <w:t>mL</w:t>
      </w:r>
      <w:r>
        <w:rPr>
          <w:rFonts w:ascii="Times New Roman" w:hAnsi="Times New Roman"/>
          <w:sz w:val="20"/>
          <w:szCs w:val="20"/>
        </w:rPr>
        <w:t>.</w:t>
      </w:r>
      <w:proofErr w:type="spellEnd"/>
    </w:p>
    <w:p w14:paraId="1A025899" w14:textId="77777777" w:rsidR="0045654C" w:rsidRDefault="0045654C"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rFonts w:ascii="Times New Roman" w:hAnsi="Times New Roman"/>
          <w:sz w:val="20"/>
          <w:szCs w:val="20"/>
        </w:rPr>
      </w:pPr>
    </w:p>
    <w:p w14:paraId="6BE38531" w14:textId="506A5316" w:rsidR="00D90B36" w:rsidRDefault="00790C4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rFonts w:ascii="Times New Roman" w:hAnsi="Times New Roman"/>
          <w:sz w:val="20"/>
          <w:szCs w:val="20"/>
        </w:rPr>
      </w:pPr>
      <w:r>
        <w:rPr>
          <w:rFonts w:ascii="Times New Roman" w:hAnsi="Times New Roman"/>
          <w:color w:val="FF0000"/>
          <w:sz w:val="20"/>
          <w:szCs w:val="20"/>
        </w:rPr>
        <w:t xml:space="preserve">  </w:t>
      </w:r>
    </w:p>
    <w:p w14:paraId="12799AD8" w14:textId="77777777" w:rsidR="00D90B36"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4" w:author="hcrow" w:date="2011-09-06T13:20:00Z" w:original="e)"/>
        </w:fldChar>
      </w:r>
      <w:r w:rsidR="00D90B36">
        <w:rPr>
          <w:rFonts w:ascii="Times New Roman" w:hAnsi="Times New Roman"/>
          <w:sz w:val="20"/>
          <w:szCs w:val="20"/>
        </w:rPr>
        <w:tab/>
        <w:t>Reagents</w:t>
      </w:r>
    </w:p>
    <w:p w14:paraId="0ADF4516" w14:textId="77777777" w:rsidR="006B72E2" w:rsidRDefault="006B72E2"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p>
    <w:p w14:paraId="154ED429" w14:textId="2E7C2856" w:rsidR="00707137" w:rsidRDefault="00707137" w:rsidP="006B72E2">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Stock reagent solutions: The </w:t>
      </w:r>
      <w:r w:rsidRPr="00164CA9">
        <w:rPr>
          <w:rFonts w:ascii="Times New Roman" w:hAnsi="Times New Roman"/>
          <w:sz w:val="20"/>
          <w:szCs w:val="20"/>
        </w:rPr>
        <w:t xml:space="preserve">specific recipe for these reagents is generally instrument dependent, and may change due to the concentration of the samples being analyzed.  </w:t>
      </w:r>
      <w:r>
        <w:rPr>
          <w:rFonts w:ascii="Times New Roman" w:hAnsi="Times New Roman"/>
          <w:sz w:val="20"/>
          <w:szCs w:val="20"/>
        </w:rPr>
        <w:t>In this SOP the chemical</w:t>
      </w:r>
      <w:r w:rsidRPr="00164CA9">
        <w:rPr>
          <w:rFonts w:ascii="Times New Roman" w:hAnsi="Times New Roman"/>
          <w:sz w:val="20"/>
          <w:szCs w:val="20"/>
        </w:rPr>
        <w:t>s needed for the reaction will be liste</w:t>
      </w:r>
      <w:r>
        <w:rPr>
          <w:rFonts w:ascii="Times New Roman" w:hAnsi="Times New Roman"/>
          <w:sz w:val="20"/>
          <w:szCs w:val="20"/>
        </w:rPr>
        <w:t>d, but not the specific amounts.</w:t>
      </w:r>
    </w:p>
    <w:p w14:paraId="0AC33605" w14:textId="64CEAEC8" w:rsidR="00707137" w:rsidRDefault="00707137" w:rsidP="006B72E2">
      <w:pPr>
        <w:numPr>
          <w:ilvl w:val="2"/>
          <w:numId w:val="14"/>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Ammonium </w:t>
      </w:r>
      <w:proofErr w:type="spellStart"/>
      <w:r>
        <w:rPr>
          <w:rFonts w:ascii="Times New Roman" w:hAnsi="Times New Roman"/>
          <w:sz w:val="20"/>
          <w:szCs w:val="20"/>
        </w:rPr>
        <w:t>Molybdate</w:t>
      </w:r>
      <w:proofErr w:type="spellEnd"/>
      <w:r>
        <w:rPr>
          <w:rFonts w:ascii="Times New Roman" w:hAnsi="Times New Roman"/>
          <w:sz w:val="20"/>
          <w:szCs w:val="20"/>
        </w:rPr>
        <w:t xml:space="preserve"> Solution: This reagent is prepared by dissolving ammonium </w:t>
      </w:r>
      <w:proofErr w:type="spellStart"/>
      <w:r>
        <w:rPr>
          <w:rFonts w:ascii="Times New Roman" w:hAnsi="Times New Roman"/>
          <w:sz w:val="20"/>
          <w:szCs w:val="20"/>
        </w:rPr>
        <w:t>molybdate</w:t>
      </w:r>
      <w:proofErr w:type="spellEnd"/>
      <w:r>
        <w:rPr>
          <w:rFonts w:ascii="Times New Roman" w:hAnsi="Times New Roman"/>
          <w:sz w:val="20"/>
          <w:szCs w:val="20"/>
        </w:rPr>
        <w:t xml:space="preserve"> </w:t>
      </w:r>
      <w:proofErr w:type="spellStart"/>
      <w:r>
        <w:rPr>
          <w:rFonts w:ascii="Times New Roman" w:hAnsi="Times New Roman"/>
          <w:sz w:val="20"/>
          <w:szCs w:val="20"/>
        </w:rPr>
        <w:t>tetrahydrate</w:t>
      </w:r>
      <w:proofErr w:type="spellEnd"/>
      <w:r>
        <w:rPr>
          <w:rFonts w:ascii="Times New Roman" w:hAnsi="Times New Roman"/>
          <w:sz w:val="20"/>
          <w:szCs w:val="20"/>
        </w:rPr>
        <w:t xml:space="preserve"> in reagent water. The solution is </w:t>
      </w:r>
      <w:r w:rsidR="00A81C77">
        <w:rPr>
          <w:rFonts w:ascii="Times New Roman" w:hAnsi="Times New Roman"/>
          <w:sz w:val="20"/>
          <w:szCs w:val="20"/>
        </w:rPr>
        <w:t xml:space="preserve">stored </w:t>
      </w:r>
      <w:r>
        <w:rPr>
          <w:rFonts w:ascii="Times New Roman" w:hAnsi="Times New Roman"/>
          <w:sz w:val="20"/>
          <w:szCs w:val="20"/>
        </w:rPr>
        <w:t xml:space="preserve">in plastic containers for up to </w:t>
      </w:r>
      <w:r w:rsidR="00F6476D">
        <w:rPr>
          <w:rFonts w:ascii="Times New Roman" w:hAnsi="Times New Roman"/>
          <w:sz w:val="20"/>
          <w:szCs w:val="20"/>
        </w:rPr>
        <w:t>three</w:t>
      </w:r>
      <w:r>
        <w:rPr>
          <w:rFonts w:ascii="Times New Roman" w:hAnsi="Times New Roman"/>
          <w:sz w:val="20"/>
          <w:szCs w:val="20"/>
        </w:rPr>
        <w:t xml:space="preserve"> months</w:t>
      </w:r>
      <w:r w:rsidR="00A81C77">
        <w:rPr>
          <w:rFonts w:ascii="Times New Roman" w:hAnsi="Times New Roman"/>
          <w:sz w:val="20"/>
          <w:szCs w:val="20"/>
        </w:rPr>
        <w:t xml:space="preserve"> at 4 ± 2°C</w:t>
      </w:r>
      <w:r>
        <w:rPr>
          <w:rFonts w:ascii="Times New Roman" w:hAnsi="Times New Roman"/>
          <w:sz w:val="20"/>
          <w:szCs w:val="20"/>
        </w:rPr>
        <w:t>.</w:t>
      </w:r>
    </w:p>
    <w:p w14:paraId="6C242E00" w14:textId="42CA3F18" w:rsidR="00707137" w:rsidRDefault="00E90B61" w:rsidP="006B72E2">
      <w:pPr>
        <w:numPr>
          <w:ilvl w:val="2"/>
          <w:numId w:val="14"/>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Antimony Potassium Tartrate Solution: This reagent is prepared by dissolving antimony potassium tartrate in reagent water. The solution is </w:t>
      </w:r>
      <w:r w:rsidR="00A81C77">
        <w:rPr>
          <w:rFonts w:ascii="Times New Roman" w:hAnsi="Times New Roman"/>
          <w:sz w:val="20"/>
          <w:szCs w:val="20"/>
        </w:rPr>
        <w:t>stored in</w:t>
      </w:r>
      <w:r>
        <w:rPr>
          <w:rFonts w:ascii="Times New Roman" w:hAnsi="Times New Roman"/>
          <w:sz w:val="20"/>
          <w:szCs w:val="20"/>
        </w:rPr>
        <w:t xml:space="preserve"> </w:t>
      </w:r>
      <w:r w:rsidR="002B2D97">
        <w:rPr>
          <w:rFonts w:ascii="Times New Roman" w:hAnsi="Times New Roman"/>
          <w:sz w:val="20"/>
          <w:szCs w:val="20"/>
        </w:rPr>
        <w:t xml:space="preserve">glass </w:t>
      </w:r>
      <w:r>
        <w:rPr>
          <w:rFonts w:ascii="Times New Roman" w:hAnsi="Times New Roman"/>
          <w:sz w:val="20"/>
          <w:szCs w:val="20"/>
        </w:rPr>
        <w:t>amber bottle</w:t>
      </w:r>
      <w:r w:rsidR="00A81C77">
        <w:rPr>
          <w:rFonts w:ascii="Times New Roman" w:hAnsi="Times New Roman"/>
          <w:sz w:val="20"/>
          <w:szCs w:val="20"/>
        </w:rPr>
        <w:t>s</w:t>
      </w:r>
      <w:r>
        <w:rPr>
          <w:rFonts w:ascii="Times New Roman" w:hAnsi="Times New Roman"/>
          <w:sz w:val="20"/>
          <w:szCs w:val="20"/>
        </w:rPr>
        <w:t xml:space="preserve"> for up to </w:t>
      </w:r>
      <w:r w:rsidR="00F6476D">
        <w:rPr>
          <w:rFonts w:ascii="Times New Roman" w:hAnsi="Times New Roman"/>
          <w:sz w:val="20"/>
          <w:szCs w:val="20"/>
        </w:rPr>
        <w:t>three</w:t>
      </w:r>
      <w:r>
        <w:rPr>
          <w:rFonts w:ascii="Times New Roman" w:hAnsi="Times New Roman"/>
          <w:sz w:val="20"/>
          <w:szCs w:val="20"/>
        </w:rPr>
        <w:t xml:space="preserve"> months</w:t>
      </w:r>
      <w:r w:rsidR="00A81C77">
        <w:rPr>
          <w:rFonts w:ascii="Times New Roman" w:hAnsi="Times New Roman"/>
          <w:sz w:val="20"/>
          <w:szCs w:val="20"/>
        </w:rPr>
        <w:t xml:space="preserve"> at 4 ± 2°C</w:t>
      </w:r>
      <w:r>
        <w:rPr>
          <w:rFonts w:ascii="Times New Roman" w:hAnsi="Times New Roman"/>
          <w:sz w:val="20"/>
          <w:szCs w:val="20"/>
        </w:rPr>
        <w:t>.</w:t>
      </w:r>
    </w:p>
    <w:p w14:paraId="6DF93B77" w14:textId="77777777" w:rsidR="006B72E2" w:rsidRDefault="006B72E2" w:rsidP="006B72E2">
      <w:p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ind w:left="2340"/>
        <w:rPr>
          <w:rFonts w:ascii="Times New Roman" w:hAnsi="Times New Roman"/>
          <w:sz w:val="20"/>
          <w:szCs w:val="20"/>
        </w:rPr>
      </w:pPr>
    </w:p>
    <w:p w14:paraId="61B6ACCD" w14:textId="58A4AB1B" w:rsidR="00707137" w:rsidRDefault="00707137" w:rsidP="00DF53F9">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Calibration standards:</w:t>
      </w:r>
      <w:r w:rsidR="00C92B80">
        <w:rPr>
          <w:rFonts w:ascii="Times New Roman" w:hAnsi="Times New Roman"/>
          <w:sz w:val="20"/>
          <w:szCs w:val="20"/>
        </w:rPr>
        <w:t xml:space="preserve"> Laboratories may purchase or prepare s</w:t>
      </w:r>
      <w:r w:rsidR="00DF53F9">
        <w:rPr>
          <w:rFonts w:ascii="Times New Roman" w:hAnsi="Times New Roman"/>
          <w:sz w:val="20"/>
          <w:szCs w:val="20"/>
        </w:rPr>
        <w:t xml:space="preserve">tock and working standards. The </w:t>
      </w:r>
      <w:r w:rsidR="00C92B80">
        <w:rPr>
          <w:rFonts w:ascii="Times New Roman" w:hAnsi="Times New Roman"/>
          <w:sz w:val="20"/>
          <w:szCs w:val="20"/>
        </w:rPr>
        <w:t>calibration check standard must be purchased or made from a second source.</w:t>
      </w:r>
    </w:p>
    <w:p w14:paraId="1C4E3525" w14:textId="5A77E8F9" w:rsidR="00C92B80" w:rsidRDefault="00C92B80" w:rsidP="006B72E2">
      <w:pPr>
        <w:numPr>
          <w:ilvl w:val="2"/>
          <w:numId w:val="11"/>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Stock Phosphate Standard Solution: Anhydrous potassium dihydrogen phosphate is dried overnight at 105 ± 2°C. To prepare the stock solution, 1.632 g is dissolved in 500 mL reagent water containing 1 mL chloroform that serves as a preservative. </w:t>
      </w:r>
      <w:r w:rsidR="00F72518">
        <w:rPr>
          <w:rFonts w:ascii="Times New Roman" w:hAnsi="Times New Roman"/>
          <w:sz w:val="20"/>
          <w:szCs w:val="20"/>
        </w:rPr>
        <w:t xml:space="preserve">One mL of this solution thus contains 12 µg P. </w:t>
      </w:r>
      <w:r>
        <w:rPr>
          <w:rFonts w:ascii="Times New Roman" w:hAnsi="Times New Roman"/>
          <w:sz w:val="20"/>
          <w:szCs w:val="20"/>
        </w:rPr>
        <w:t xml:space="preserve">The solution is </w:t>
      </w:r>
      <w:r w:rsidR="00F72518">
        <w:rPr>
          <w:rFonts w:ascii="Times New Roman" w:hAnsi="Times New Roman"/>
          <w:sz w:val="20"/>
          <w:szCs w:val="20"/>
        </w:rPr>
        <w:t>stable for six months when stored</w:t>
      </w:r>
      <w:r>
        <w:rPr>
          <w:rFonts w:ascii="Times New Roman" w:hAnsi="Times New Roman"/>
          <w:sz w:val="20"/>
          <w:szCs w:val="20"/>
        </w:rPr>
        <w:t xml:space="preserve"> at 4 ± 2°</w:t>
      </w:r>
      <w:r w:rsidR="00F72518">
        <w:rPr>
          <w:rFonts w:ascii="Times New Roman" w:hAnsi="Times New Roman"/>
          <w:sz w:val="20"/>
          <w:szCs w:val="20"/>
        </w:rPr>
        <w:t>C.</w:t>
      </w:r>
    </w:p>
    <w:p w14:paraId="5FB25623" w14:textId="6D145CC8" w:rsidR="004B6C51" w:rsidRDefault="004B6C51" w:rsidP="006B72E2">
      <w:pPr>
        <w:numPr>
          <w:ilvl w:val="2"/>
          <w:numId w:val="11"/>
        </w:num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Prepare a series of standards by </w:t>
      </w:r>
      <w:r w:rsidR="00677A7D">
        <w:rPr>
          <w:rFonts w:ascii="Times New Roman" w:hAnsi="Times New Roman"/>
          <w:sz w:val="20"/>
          <w:szCs w:val="20"/>
        </w:rPr>
        <w:t>diluting</w:t>
      </w:r>
      <w:r>
        <w:rPr>
          <w:rFonts w:ascii="Times New Roman" w:hAnsi="Times New Roman"/>
          <w:sz w:val="20"/>
          <w:szCs w:val="20"/>
        </w:rPr>
        <w:t xml:space="preserve"> suitable volumes of stock solutions with reagent water. Prepare working standards daily. Standards should bracket the expected concentration of the samples.</w:t>
      </w:r>
    </w:p>
    <w:p w14:paraId="1143B77E" w14:textId="77777777" w:rsidR="004B6C51" w:rsidRDefault="004B6C51" w:rsidP="006B72E2">
      <w:pPr>
        <w:tabs>
          <w:tab w:val="left" w:pos="-1440"/>
          <w:tab w:val="left" w:pos="-720"/>
          <w:tab w:val="left" w:pos="0"/>
          <w:tab w:val="left" w:pos="600"/>
          <w:tab w:val="left" w:pos="1440"/>
          <w:tab w:val="left" w:pos="2340"/>
          <w:tab w:val="left" w:pos="5040"/>
          <w:tab w:val="left" w:pos="5760"/>
          <w:tab w:val="left" w:pos="6480"/>
          <w:tab w:val="left" w:pos="7200"/>
          <w:tab w:val="left" w:pos="7920"/>
          <w:tab w:val="left" w:pos="8640"/>
          <w:tab w:val="left" w:pos="9360"/>
        </w:tabs>
        <w:ind w:left="2340"/>
        <w:rPr>
          <w:rFonts w:ascii="Times New Roman" w:hAnsi="Times New Roman"/>
          <w:sz w:val="20"/>
          <w:szCs w:val="20"/>
        </w:rPr>
      </w:pPr>
    </w:p>
    <w:p w14:paraId="5FA7EF31" w14:textId="4BAB2BE6" w:rsidR="00707137" w:rsidRDefault="00707137" w:rsidP="006B72E2">
      <w:pPr>
        <w:numPr>
          <w:ilvl w:val="0"/>
          <w:numId w:val="17"/>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hanging="960"/>
        <w:rPr>
          <w:rFonts w:ascii="Times New Roman" w:hAnsi="Times New Roman"/>
          <w:sz w:val="20"/>
          <w:szCs w:val="20"/>
        </w:rPr>
      </w:pPr>
      <w:r>
        <w:rPr>
          <w:rFonts w:ascii="Times New Roman" w:hAnsi="Times New Roman"/>
          <w:sz w:val="20"/>
          <w:szCs w:val="20"/>
        </w:rPr>
        <w:t xml:space="preserve">Reagent water: </w:t>
      </w:r>
      <w:r w:rsidR="004B6C51">
        <w:rPr>
          <w:rFonts w:ascii="Times New Roman" w:hAnsi="Times New Roman"/>
          <w:sz w:val="20"/>
          <w:szCs w:val="20"/>
        </w:rPr>
        <w:t>Refer to Chapter VI, Section 4.2.</w:t>
      </w:r>
    </w:p>
    <w:p w14:paraId="725261D5" w14:textId="5D801267" w:rsidR="00707137" w:rsidRDefault="00707137"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p>
    <w:p w14:paraId="41253EA7" w14:textId="3B3B15B0" w:rsidR="00D90B36" w:rsidRDefault="004D1424"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       </w:t>
      </w:r>
      <w:r w:rsidR="00D90B36">
        <w:rPr>
          <w:rFonts w:ascii="Times New Roman" w:hAnsi="Times New Roman"/>
          <w:sz w:val="20"/>
          <w:szCs w:val="20"/>
        </w:rPr>
        <w:t xml:space="preserve">  </w:t>
      </w:r>
    </w:p>
    <w:p w14:paraId="4CE16F46"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sectPr w:rsidR="00D90B36" w:rsidSect="003B7B0D">
          <w:headerReference w:type="default" r:id="rId8"/>
          <w:type w:val="continuous"/>
          <w:pgSz w:w="12240" w:h="15840"/>
          <w:pgMar w:top="1440" w:right="1440" w:bottom="1440" w:left="1440" w:header="864" w:footer="1440" w:gutter="0"/>
          <w:cols w:space="720"/>
          <w:noEndnote/>
          <w:docGrid w:linePitch="326"/>
        </w:sectPr>
      </w:pPr>
    </w:p>
    <w:p w14:paraId="4E2991F5" w14:textId="2BD14F87" w:rsidR="00BE7A08"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lastRenderedPageBreak/>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5" w:author="hcrow" w:date="2011-09-06T13:20:00Z" w:original="f)"/>
        </w:fldChar>
      </w:r>
      <w:r w:rsidR="00D90B36">
        <w:rPr>
          <w:rFonts w:ascii="Times New Roman" w:hAnsi="Times New Roman"/>
          <w:sz w:val="20"/>
          <w:szCs w:val="20"/>
        </w:rPr>
        <w:tab/>
        <w:t>Sample Handling</w:t>
      </w:r>
    </w:p>
    <w:p w14:paraId="06A86828"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4AF73BE" w14:textId="0D785FDE" w:rsidR="00C96489" w:rsidRDefault="00C96489" w:rsidP="006B72E2">
      <w:pPr>
        <w:numPr>
          <w:ilvl w:val="0"/>
          <w:numId w:val="18"/>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Samples must be filtered as soo</w:t>
      </w:r>
      <w:r w:rsidR="00BD7815">
        <w:rPr>
          <w:rFonts w:ascii="Times New Roman" w:hAnsi="Times New Roman"/>
          <w:sz w:val="20"/>
          <w:szCs w:val="20"/>
        </w:rPr>
        <w:t>n as possible after collection, preferably on the field. Using a forceps, transfer a 0.7 µm glass fiber filter, wrinkled side up, onto the base of a vacuum filtration apparatus. Filter a known volume of water through the filter under vacuum pressure (≤ 20 inches Hg) to concentrate particulates on the filter pad. Rinse particulates with distilled water, and continue suction until dry.</w:t>
      </w:r>
      <w:r w:rsidR="00F46FCB">
        <w:rPr>
          <w:rFonts w:ascii="Times New Roman" w:hAnsi="Times New Roman"/>
          <w:sz w:val="20"/>
          <w:szCs w:val="20"/>
        </w:rPr>
        <w:t xml:space="preserve"> Freeze at -20°C.</w:t>
      </w:r>
    </w:p>
    <w:p w14:paraId="0D6B2C02"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693AE0BD" w14:textId="51C31E12" w:rsidR="00EF771B" w:rsidRDefault="00EF771B" w:rsidP="006B72E2">
      <w:pPr>
        <w:numPr>
          <w:ilvl w:val="0"/>
          <w:numId w:val="18"/>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Samples must be analyzed as quickly as possible. If the samples are to be analyzed with</w:t>
      </w:r>
      <w:r w:rsidR="00A73A3D">
        <w:rPr>
          <w:rFonts w:ascii="Times New Roman" w:hAnsi="Times New Roman"/>
          <w:sz w:val="20"/>
          <w:szCs w:val="20"/>
        </w:rPr>
        <w:t xml:space="preserve">in 48 hours of collection, </w:t>
      </w:r>
      <w:r>
        <w:rPr>
          <w:rFonts w:ascii="Times New Roman" w:hAnsi="Times New Roman"/>
          <w:sz w:val="20"/>
          <w:szCs w:val="20"/>
        </w:rPr>
        <w:t>refrigerated at ≤ 6°C.</w:t>
      </w:r>
    </w:p>
    <w:p w14:paraId="6384123B"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612DFAEE" w14:textId="1A2F0D91" w:rsidR="00EF771B" w:rsidRDefault="00EF771B" w:rsidP="006B72E2">
      <w:pPr>
        <w:numPr>
          <w:ilvl w:val="0"/>
          <w:numId w:val="18"/>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If samples will not be analyzed within 48 hours of collection, freeze and store them at -20°C or less for a minimum of 28 days.</w:t>
      </w:r>
    </w:p>
    <w:p w14:paraId="0ABD786B" w14:textId="77777777" w:rsidR="00F06914" w:rsidRDefault="00F06914"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imes New Roman" w:hAnsi="Times New Roman"/>
          <w:sz w:val="20"/>
          <w:szCs w:val="20"/>
        </w:rPr>
      </w:pPr>
    </w:p>
    <w:p w14:paraId="21C165F5"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1D44527" w14:textId="576DCF4B" w:rsidR="00BE7A08" w:rsidRDefault="00246CBF"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sidR="00D90B36">
        <w:rPr>
          <w:rFonts w:ascii="Times New Roman" w:hAnsi="Times New Roman"/>
          <w:sz w:val="20"/>
          <w:szCs w:val="20"/>
        </w:rPr>
        <w:instrText>LISTNUM 2 \l 2</w:instrText>
      </w:r>
      <w:r>
        <w:rPr>
          <w:rFonts w:ascii="Times New Roman" w:hAnsi="Times New Roman"/>
          <w:sz w:val="20"/>
          <w:szCs w:val="20"/>
        </w:rPr>
        <w:fldChar w:fldCharType="end">
          <w:numberingChange w:id="6" w:author="hcrow" w:date="2011-09-06T13:20:00Z" w:original="g)"/>
        </w:fldChar>
      </w:r>
      <w:r w:rsidR="00D90B36">
        <w:rPr>
          <w:rFonts w:ascii="Times New Roman" w:hAnsi="Times New Roman"/>
          <w:sz w:val="20"/>
          <w:szCs w:val="20"/>
        </w:rPr>
        <w:tab/>
        <w:t>Procedure</w:t>
      </w:r>
      <w:r w:rsidR="000230D4">
        <w:rPr>
          <w:rFonts w:ascii="Times New Roman" w:hAnsi="Times New Roman"/>
          <w:sz w:val="20"/>
          <w:szCs w:val="20"/>
        </w:rPr>
        <w:t xml:space="preserve"> (</w:t>
      </w:r>
      <w:r w:rsidR="000230D4" w:rsidRPr="000230D4">
        <w:rPr>
          <w:rFonts w:ascii="Times New Roman" w:hAnsi="Times New Roman"/>
          <w:sz w:val="20"/>
          <w:szCs w:val="20"/>
          <w:highlight w:val="yellow"/>
        </w:rPr>
        <w:t>Pre-rinse, blank?</w:t>
      </w:r>
      <w:r w:rsidR="00787FA7">
        <w:rPr>
          <w:rFonts w:ascii="Times New Roman" w:hAnsi="Times New Roman"/>
          <w:sz w:val="20"/>
          <w:szCs w:val="20"/>
        </w:rPr>
        <w:t xml:space="preserve"> </w:t>
      </w:r>
      <w:r w:rsidR="00787FA7" w:rsidRPr="00677A7D">
        <w:rPr>
          <w:rFonts w:ascii="Times New Roman" w:hAnsi="Times New Roman"/>
          <w:sz w:val="20"/>
          <w:szCs w:val="20"/>
          <w:highlight w:val="yellow"/>
        </w:rPr>
        <w:t>Include TSS comment if necessary</w:t>
      </w:r>
      <w:r w:rsidR="000230D4">
        <w:rPr>
          <w:rFonts w:ascii="Times New Roman" w:hAnsi="Times New Roman"/>
          <w:sz w:val="20"/>
          <w:szCs w:val="20"/>
        </w:rPr>
        <w:t>)</w:t>
      </w:r>
    </w:p>
    <w:p w14:paraId="3D51918F" w14:textId="77777777" w:rsidR="006B72E2" w:rsidRDefault="006B72E2"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p>
    <w:p w14:paraId="0AD4C911" w14:textId="5327120A" w:rsidR="00C96489" w:rsidRDefault="003A6679"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If samples </w:t>
      </w:r>
      <w:r w:rsidR="00A31452">
        <w:rPr>
          <w:rFonts w:ascii="Times New Roman" w:hAnsi="Times New Roman"/>
          <w:sz w:val="20"/>
          <w:szCs w:val="20"/>
        </w:rPr>
        <w:t xml:space="preserve">filter pads </w:t>
      </w:r>
      <w:bookmarkStart w:id="7" w:name="_GoBack"/>
      <w:bookmarkEnd w:id="7"/>
      <w:r>
        <w:rPr>
          <w:rFonts w:ascii="Times New Roman" w:hAnsi="Times New Roman"/>
          <w:sz w:val="20"/>
          <w:szCs w:val="20"/>
        </w:rPr>
        <w:t>are frozen, thaw to room temperature.</w:t>
      </w:r>
      <w:r w:rsidR="000230D4">
        <w:rPr>
          <w:rFonts w:ascii="Times New Roman" w:hAnsi="Times New Roman"/>
          <w:sz w:val="20"/>
          <w:szCs w:val="20"/>
        </w:rPr>
        <w:t xml:space="preserve"> </w:t>
      </w:r>
    </w:p>
    <w:p w14:paraId="58E879F7"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276C8874" w14:textId="41385280" w:rsidR="00787FA7" w:rsidRDefault="00C96489"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Place the filters in </w:t>
      </w:r>
      <w:r w:rsidR="000230D4">
        <w:rPr>
          <w:rFonts w:ascii="Times New Roman" w:hAnsi="Times New Roman"/>
          <w:sz w:val="20"/>
          <w:szCs w:val="20"/>
        </w:rPr>
        <w:t>a clean container and dry overnight in an oven at 50 ± 2°C</w:t>
      </w:r>
      <w:r w:rsidR="00677A7D">
        <w:rPr>
          <w:rFonts w:ascii="Times New Roman" w:hAnsi="Times New Roman"/>
          <w:sz w:val="20"/>
          <w:szCs w:val="20"/>
        </w:rPr>
        <w:t xml:space="preserve"> (</w:t>
      </w:r>
      <w:r w:rsidR="00677A7D" w:rsidRPr="00677A7D">
        <w:rPr>
          <w:rFonts w:ascii="Times New Roman" w:hAnsi="Times New Roman"/>
          <w:sz w:val="20"/>
          <w:szCs w:val="20"/>
          <w:highlight w:val="yellow"/>
        </w:rPr>
        <w:t>some labs exclude this step</w:t>
      </w:r>
      <w:r w:rsidR="00677A7D">
        <w:rPr>
          <w:rFonts w:ascii="Times New Roman" w:hAnsi="Times New Roman"/>
          <w:sz w:val="20"/>
          <w:szCs w:val="20"/>
        </w:rPr>
        <w:t>)</w:t>
      </w:r>
      <w:r w:rsidR="00787FA7">
        <w:rPr>
          <w:rFonts w:ascii="Times New Roman" w:hAnsi="Times New Roman"/>
          <w:sz w:val="20"/>
          <w:szCs w:val="20"/>
        </w:rPr>
        <w:t>.</w:t>
      </w:r>
    </w:p>
    <w:p w14:paraId="699BE513"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4786C83" w14:textId="77777777" w:rsidR="0071066D" w:rsidRDefault="00787FA7"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Place the dried filters in </w:t>
      </w:r>
      <w:r w:rsidR="0071066D">
        <w:rPr>
          <w:rFonts w:ascii="Times New Roman" w:hAnsi="Times New Roman"/>
          <w:sz w:val="20"/>
          <w:szCs w:val="20"/>
        </w:rPr>
        <w:t>a clean numbered crucible in a muffle furnace and heat for 1.5 – 2 hours at 550 ± 2°C. Cool overnight.</w:t>
      </w:r>
    </w:p>
    <w:p w14:paraId="2680D681"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43B90543" w14:textId="77777777" w:rsidR="0071066D" w:rsidRDefault="0071066D"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Place the filters in labeled 50 mL screw cap centrifuge tubes, add 10 mL of 1N </w:t>
      </w:r>
      <w:proofErr w:type="spellStart"/>
      <w:r>
        <w:rPr>
          <w:rFonts w:ascii="Times New Roman" w:hAnsi="Times New Roman"/>
          <w:sz w:val="20"/>
          <w:szCs w:val="20"/>
        </w:rPr>
        <w:t>HCl</w:t>
      </w:r>
      <w:proofErr w:type="spellEnd"/>
      <w:r>
        <w:rPr>
          <w:rFonts w:ascii="Times New Roman" w:hAnsi="Times New Roman"/>
          <w:sz w:val="20"/>
          <w:szCs w:val="20"/>
        </w:rPr>
        <w:t xml:space="preserve"> and shake gently over a 24 hour period. </w:t>
      </w:r>
    </w:p>
    <w:p w14:paraId="3AB3C209"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6FAF6F57" w14:textId="263204DC" w:rsidR="0071066D" w:rsidRDefault="0071066D"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Dilute to 50 mL with reagent water, </w:t>
      </w:r>
      <w:r w:rsidR="00C2500B">
        <w:rPr>
          <w:rFonts w:ascii="Times New Roman" w:hAnsi="Times New Roman"/>
          <w:sz w:val="20"/>
          <w:szCs w:val="20"/>
        </w:rPr>
        <w:t>transfer the</w:t>
      </w:r>
      <w:r>
        <w:rPr>
          <w:rFonts w:ascii="Times New Roman" w:hAnsi="Times New Roman"/>
          <w:sz w:val="20"/>
          <w:szCs w:val="20"/>
        </w:rPr>
        <w:t xml:space="preserve"> supernatant to</w:t>
      </w:r>
      <w:r w:rsidR="00C2500B">
        <w:rPr>
          <w:rFonts w:ascii="Times New Roman" w:hAnsi="Times New Roman"/>
          <w:sz w:val="20"/>
          <w:szCs w:val="20"/>
        </w:rPr>
        <w:t xml:space="preserve"> </w:t>
      </w:r>
      <w:proofErr w:type="spellStart"/>
      <w:r w:rsidR="00C2500B">
        <w:rPr>
          <w:rFonts w:ascii="Times New Roman" w:hAnsi="Times New Roman"/>
          <w:sz w:val="20"/>
          <w:szCs w:val="20"/>
        </w:rPr>
        <w:t>autoanalyzer</w:t>
      </w:r>
      <w:proofErr w:type="spellEnd"/>
      <w:r w:rsidR="00C2500B">
        <w:rPr>
          <w:rFonts w:ascii="Times New Roman" w:hAnsi="Times New Roman"/>
          <w:sz w:val="20"/>
          <w:szCs w:val="20"/>
        </w:rPr>
        <w:t xml:space="preserve"> cups and</w:t>
      </w:r>
      <w:r>
        <w:rPr>
          <w:rFonts w:ascii="Times New Roman" w:hAnsi="Times New Roman"/>
          <w:sz w:val="20"/>
          <w:szCs w:val="20"/>
        </w:rPr>
        <w:t xml:space="preserve"> measure the phosphate concentration </w:t>
      </w:r>
      <w:r w:rsidRPr="00BF5D19">
        <w:rPr>
          <w:rFonts w:ascii="Times New Roman" w:hAnsi="Times New Roman"/>
          <w:sz w:val="20"/>
          <w:szCs w:val="20"/>
          <w:highlight w:val="yellow"/>
        </w:rPr>
        <w:t>as specified in the Orthophosphate method</w:t>
      </w:r>
      <w:r>
        <w:rPr>
          <w:rFonts w:ascii="Times New Roman" w:hAnsi="Times New Roman"/>
          <w:sz w:val="20"/>
          <w:szCs w:val="20"/>
        </w:rPr>
        <w:t>.</w:t>
      </w:r>
    </w:p>
    <w:p w14:paraId="16009EA8"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77E52724" w14:textId="709AA111" w:rsidR="00BF5D19" w:rsidRDefault="00BF5D19"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Allow both the colorimeter and recorder to warm up, and obtain a stable baseline with reagent water </w:t>
      </w:r>
      <w:r w:rsidR="00004C19">
        <w:rPr>
          <w:rFonts w:ascii="Times New Roman" w:hAnsi="Times New Roman"/>
          <w:sz w:val="20"/>
          <w:szCs w:val="20"/>
        </w:rPr>
        <w:t xml:space="preserve">running </w:t>
      </w:r>
      <w:r>
        <w:rPr>
          <w:rFonts w:ascii="Times New Roman" w:hAnsi="Times New Roman"/>
          <w:sz w:val="20"/>
          <w:szCs w:val="20"/>
        </w:rPr>
        <w:t>through the sample line.</w:t>
      </w:r>
    </w:p>
    <w:p w14:paraId="37191A4F"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13BA8015" w14:textId="47B7BBE3" w:rsidR="00BF5D19" w:rsidRDefault="00BF5D19"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Switch </w:t>
      </w:r>
      <w:r w:rsidR="005D6184">
        <w:rPr>
          <w:rFonts w:ascii="Times New Roman" w:hAnsi="Times New Roman"/>
          <w:sz w:val="20"/>
          <w:szCs w:val="20"/>
        </w:rPr>
        <w:t xml:space="preserve">the </w:t>
      </w:r>
      <w:r>
        <w:rPr>
          <w:rFonts w:ascii="Times New Roman" w:hAnsi="Times New Roman"/>
          <w:sz w:val="20"/>
          <w:szCs w:val="20"/>
        </w:rPr>
        <w:t xml:space="preserve">sample line from </w:t>
      </w:r>
      <w:r w:rsidR="005D6184">
        <w:rPr>
          <w:rFonts w:ascii="Times New Roman" w:hAnsi="Times New Roman"/>
          <w:sz w:val="20"/>
          <w:szCs w:val="20"/>
        </w:rPr>
        <w:t xml:space="preserve">reagent </w:t>
      </w:r>
      <w:r>
        <w:rPr>
          <w:rFonts w:ascii="Times New Roman" w:hAnsi="Times New Roman"/>
          <w:sz w:val="20"/>
          <w:szCs w:val="20"/>
        </w:rPr>
        <w:t>water to sampler and begin analysis</w:t>
      </w:r>
      <w:r w:rsidR="00004C19">
        <w:rPr>
          <w:rFonts w:ascii="Times New Roman" w:hAnsi="Times New Roman"/>
          <w:sz w:val="20"/>
          <w:szCs w:val="20"/>
        </w:rPr>
        <w:t>, starting with the standards in order of decreasing concentration</w:t>
      </w:r>
      <w:r>
        <w:rPr>
          <w:rFonts w:ascii="Times New Roman" w:hAnsi="Times New Roman"/>
          <w:sz w:val="20"/>
          <w:szCs w:val="20"/>
        </w:rPr>
        <w:t>.</w:t>
      </w:r>
    </w:p>
    <w:p w14:paraId="4DA81F3C"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58EBB0E" w14:textId="74D05654" w:rsidR="0071066D" w:rsidRDefault="0071066D"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Subtract the blank background response from the standards before preparing the standard curve.</w:t>
      </w:r>
    </w:p>
    <w:p w14:paraId="6BC18FC7"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6A5DEB93" w14:textId="77777777" w:rsidR="0071066D" w:rsidRDefault="0071066D" w:rsidP="006B72E2">
      <w:pPr>
        <w:numPr>
          <w:ilvl w:val="0"/>
          <w:numId w:val="19"/>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Record the stabilized potential of each unknown sample and convert the potential reading to the </w:t>
      </w:r>
      <w:r>
        <w:rPr>
          <w:rFonts w:ascii="Times New Roman" w:hAnsi="Times New Roman"/>
          <w:sz w:val="20"/>
          <w:szCs w:val="20"/>
        </w:rPr>
        <w:lastRenderedPageBreak/>
        <w:t>phosphorous concentration using the standard curve.</w:t>
      </w:r>
    </w:p>
    <w:p w14:paraId="50A6D507" w14:textId="77777777" w:rsidR="00AA1DDE" w:rsidRDefault="00AA1DDE"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4754CC5" w14:textId="77777777" w:rsidR="006B72E2" w:rsidRDefault="006B72E2"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25C283D0" w14:textId="5F2F0BEB" w:rsidR="00BE7A08" w:rsidRDefault="00BE7A08"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LISTNUM 2 \l 2</w:instrText>
      </w:r>
      <w:r>
        <w:rPr>
          <w:rFonts w:ascii="Times New Roman" w:hAnsi="Times New Roman"/>
          <w:sz w:val="20"/>
          <w:szCs w:val="20"/>
        </w:rPr>
        <w:fldChar w:fldCharType="end"/>
      </w:r>
      <w:r>
        <w:rPr>
          <w:rFonts w:ascii="Times New Roman" w:hAnsi="Times New Roman"/>
          <w:sz w:val="20"/>
          <w:szCs w:val="20"/>
        </w:rPr>
        <w:tab/>
      </w:r>
      <w:r w:rsidR="00FC2A81">
        <w:rPr>
          <w:rFonts w:ascii="Times New Roman" w:hAnsi="Times New Roman"/>
          <w:sz w:val="20"/>
          <w:szCs w:val="20"/>
        </w:rPr>
        <w:t>Calculations</w:t>
      </w:r>
    </w:p>
    <w:p w14:paraId="73579339" w14:textId="77777777" w:rsidR="00BE7A08" w:rsidRDefault="00BE7A08" w:rsidP="006B72E2">
      <w:pPr>
        <w:widowControl/>
        <w:autoSpaceDE/>
        <w:autoSpaceDN/>
        <w:adjustRightInd/>
        <w:rPr>
          <w:rFonts w:ascii="Times New Roman" w:hAnsi="Times New Roman"/>
          <w:sz w:val="20"/>
          <w:szCs w:val="20"/>
        </w:rPr>
      </w:pPr>
    </w:p>
    <w:p w14:paraId="01B7F835" w14:textId="77777777" w:rsidR="00BE7A08" w:rsidRDefault="00BE7A08" w:rsidP="006B72E2">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Calculate particulate phosphorus concentrations from the linear regression obtained from the standard curve in which the concentrations of the standards are entered as the independent variable (x-axis) and the corresponding response is the dependent variable (y-axis).</w:t>
      </w:r>
    </w:p>
    <w:p w14:paraId="230EE12F" w14:textId="77777777" w:rsidR="006B72E2" w:rsidRDefault="006B72E2" w:rsidP="006B72E2">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09B9BE88" w14:textId="77777777" w:rsidR="00BE7A08" w:rsidRDefault="00BE7A08" w:rsidP="006B72E2">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The actual concentration of particulate phosphorus in samples (mg/L) is determined using the following equation:</w:t>
      </w:r>
    </w:p>
    <w:p w14:paraId="35CF2081" w14:textId="77777777" w:rsidR="00BE7A08" w:rsidRDefault="00BE7A08" w:rsidP="006B72E2">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m:oMathPara>
        <m:oMath>
          <m:r>
            <w:rPr>
              <w:rFonts w:ascii="Cambria Math" w:hAnsi="Cambria Math"/>
              <w:sz w:val="20"/>
              <w:szCs w:val="20"/>
            </w:rPr>
            <m:t>P concentration in sample (</m:t>
          </m:r>
          <m:f>
            <m:fPr>
              <m:type m:val="lin"/>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L</m:t>
              </m:r>
            </m:den>
          </m:f>
          <m:r>
            <w:rPr>
              <w:rFonts w:ascii="Cambria Math" w:hAnsi="Cambria Math"/>
              <w:sz w:val="20"/>
              <w:szCs w:val="20"/>
            </w:rPr>
            <m:t>)</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concentration of sample </m:t>
              </m:r>
              <m:d>
                <m:dPr>
                  <m:ctrlPr>
                    <w:rPr>
                      <w:rFonts w:ascii="Cambria Math" w:hAnsi="Cambria Math"/>
                      <w:i/>
                      <w:sz w:val="20"/>
                      <w:szCs w:val="20"/>
                    </w:rPr>
                  </m:ctrlPr>
                </m:dPr>
                <m:e>
                  <m:f>
                    <m:fPr>
                      <m:type m:val="lin"/>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L</m:t>
                      </m:r>
                    </m:den>
                  </m:f>
                </m:e>
              </m:d>
              <m:r>
                <w:rPr>
                  <w:rFonts w:ascii="Cambria Math" w:hAnsi="Cambria Math"/>
                  <w:sz w:val="20"/>
                  <w:szCs w:val="20"/>
                </w:rPr>
                <m:t>x 10 mL</m:t>
              </m:r>
            </m:num>
            <m:den>
              <m:r>
                <w:rPr>
                  <w:rFonts w:ascii="Cambria Math" w:hAnsi="Cambria Math"/>
                  <w:sz w:val="20"/>
                  <w:szCs w:val="20"/>
                </w:rPr>
                <m:t>sample volume used in filtrate (mL)</m:t>
              </m:r>
            </m:den>
          </m:f>
        </m:oMath>
      </m:oMathPara>
    </w:p>
    <w:p w14:paraId="661ECF11" w14:textId="77777777" w:rsidR="00BE7A08" w:rsidRDefault="00BE7A08" w:rsidP="006B72E2">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46FAA467" w14:textId="77777777" w:rsidR="00BE7A08" w:rsidRDefault="00BE7A08" w:rsidP="006B72E2">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Calculate the relative percentage difference (RPD) for sample duplicates as follows:</w:t>
      </w:r>
      <w:r>
        <w:rPr>
          <w:rFonts w:ascii="Times New Roman" w:hAnsi="Times New Roman"/>
          <w:sz w:val="20"/>
          <w:szCs w:val="20"/>
        </w:rPr>
        <w:br/>
      </w:r>
    </w:p>
    <w:p w14:paraId="1881EC78" w14:textId="77777777" w:rsidR="00BE7A08" w:rsidRPr="006B72E2" w:rsidRDefault="00BE7A08" w:rsidP="006B72E2">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m:oMathPara>
        <m:oMath>
          <m:r>
            <w:rPr>
              <w:rFonts w:ascii="Cambria Math" w:hAnsi="Cambria Math"/>
              <w:sz w:val="20"/>
              <w:szCs w:val="20"/>
            </w:rPr>
            <m:t>% RPD</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difference between duplicates </m:t>
              </m:r>
            </m:num>
            <m:den>
              <m:r>
                <w:rPr>
                  <w:rFonts w:ascii="Cambria Math" w:hAnsi="Cambria Math"/>
                  <w:sz w:val="20"/>
                  <w:szCs w:val="20"/>
                </w:rPr>
                <m:t>average of duplicates</m:t>
              </m:r>
            </m:den>
          </m:f>
          <m:r>
            <w:rPr>
              <w:rFonts w:ascii="Cambria Math" w:hAnsi="Cambria Math"/>
              <w:sz w:val="20"/>
              <w:szCs w:val="20"/>
            </w:rPr>
            <m:t xml:space="preserve"> x 100</m:t>
          </m:r>
        </m:oMath>
      </m:oMathPara>
    </w:p>
    <w:p w14:paraId="0CE183B8" w14:textId="77777777" w:rsidR="006B72E2" w:rsidRDefault="006B72E2" w:rsidP="006B72E2">
      <w:p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4B598465" w14:textId="77777777" w:rsidR="00BE7A08" w:rsidRDefault="00BE7A08" w:rsidP="006B72E2">
      <w:pPr>
        <w:numPr>
          <w:ilvl w:val="0"/>
          <w:numId w:val="22"/>
        </w:numPr>
        <w:tabs>
          <w:tab w:val="left" w:pos="-1440"/>
          <w:tab w:val="left" w:pos="-720"/>
          <w:tab w:val="left" w:pos="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Results should be reported in units of mg P/L.</w:t>
      </w:r>
    </w:p>
    <w:p w14:paraId="4438F780" w14:textId="77777777" w:rsidR="00BE7A08" w:rsidRDefault="00BE7A08" w:rsidP="006B72E2">
      <w:pPr>
        <w:widowControl/>
        <w:autoSpaceDE/>
        <w:autoSpaceDN/>
        <w:adjustRightInd/>
        <w:ind w:left="1440" w:hanging="360"/>
        <w:rPr>
          <w:rFonts w:ascii="Times New Roman" w:hAnsi="Times New Roman"/>
          <w:sz w:val="20"/>
          <w:szCs w:val="20"/>
        </w:rPr>
      </w:pPr>
    </w:p>
    <w:p w14:paraId="2B474450" w14:textId="77777777" w:rsidR="00AA1DDE" w:rsidRDefault="00AA1DDE"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E7971E5" w14:textId="24670DE5" w:rsidR="00FC2A81" w:rsidRDefault="00FC2A81"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LISTNUM 2 \l 2</w:instrText>
      </w:r>
      <w:r>
        <w:rPr>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Quality Control</w:t>
      </w:r>
    </w:p>
    <w:p w14:paraId="7355FD4D"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5D965AEA" w14:textId="0CF4E173" w:rsidR="00D94645" w:rsidRDefault="00D94645" w:rsidP="006B72E2">
      <w:pPr>
        <w:numPr>
          <w:ilvl w:val="0"/>
          <w:numId w:val="20"/>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Method detection limits (MDL): Method detection limits should be established using the guidelines in Chapter VI, </w:t>
      </w:r>
      <w:r w:rsidR="00C30C74">
        <w:rPr>
          <w:rFonts w:ascii="Times New Roman" w:hAnsi="Times New Roman"/>
          <w:sz w:val="20"/>
          <w:szCs w:val="20"/>
        </w:rPr>
        <w:t>Section</w:t>
      </w:r>
      <w:r>
        <w:rPr>
          <w:rFonts w:ascii="Times New Roman" w:hAnsi="Times New Roman"/>
          <w:sz w:val="20"/>
          <w:szCs w:val="20"/>
        </w:rPr>
        <w:t xml:space="preserve"> C.</w:t>
      </w:r>
    </w:p>
    <w:p w14:paraId="4286F3CC"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7E54896B" w14:textId="6B2FE650" w:rsidR="00A41C79" w:rsidRDefault="00CA5B8A" w:rsidP="006B72E2">
      <w:pPr>
        <w:numPr>
          <w:ilvl w:val="0"/>
          <w:numId w:val="20"/>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 xml:space="preserve">Reference materials: </w:t>
      </w:r>
      <w:r w:rsidR="00A41C79">
        <w:rPr>
          <w:rFonts w:ascii="Times New Roman" w:hAnsi="Times New Roman"/>
          <w:sz w:val="20"/>
          <w:szCs w:val="20"/>
        </w:rPr>
        <w:t>The laboratory must analyze</w:t>
      </w:r>
      <w:r>
        <w:rPr>
          <w:rFonts w:ascii="Times New Roman" w:hAnsi="Times New Roman"/>
          <w:sz w:val="20"/>
          <w:szCs w:val="20"/>
        </w:rPr>
        <w:t xml:space="preserve"> a standard reference material once a year, as available. A laboratory control sample (LCS) for particulates is not commercially available. Prepare a LCS of known concentration in the acid matrix used for </w:t>
      </w:r>
      <w:r w:rsidR="005D6184">
        <w:rPr>
          <w:rFonts w:ascii="Times New Roman" w:hAnsi="Times New Roman"/>
          <w:sz w:val="20"/>
          <w:szCs w:val="20"/>
        </w:rPr>
        <w:t>particulate phosphorus</w:t>
      </w:r>
      <w:r>
        <w:rPr>
          <w:rFonts w:ascii="Times New Roman" w:hAnsi="Times New Roman"/>
          <w:sz w:val="20"/>
          <w:szCs w:val="20"/>
        </w:rPr>
        <w:t xml:space="preserve"> extracts.</w:t>
      </w:r>
    </w:p>
    <w:p w14:paraId="4E43BDAA" w14:textId="77777777" w:rsidR="006B72E2" w:rsidRDefault="006B72E2"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47F10A23" w14:textId="43C9E522" w:rsidR="00CA5B8A" w:rsidRDefault="00D47EDC" w:rsidP="006B72E2">
      <w:pPr>
        <w:numPr>
          <w:ilvl w:val="0"/>
          <w:numId w:val="20"/>
        </w:num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r>
        <w:rPr>
          <w:rFonts w:ascii="Times New Roman" w:hAnsi="Times New Roman"/>
          <w:sz w:val="20"/>
          <w:szCs w:val="20"/>
        </w:rPr>
        <w:t>Additional quality control parameters are listed in the table below.</w:t>
      </w:r>
    </w:p>
    <w:p w14:paraId="43F072DF" w14:textId="77777777" w:rsidR="00D47EDC" w:rsidRDefault="00D47EDC"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rPr>
      </w:pPr>
    </w:p>
    <w:p w14:paraId="1AE75BA7" w14:textId="0140BC97" w:rsidR="00AA1DDE" w:rsidRPr="006B72E2" w:rsidRDefault="00D47EDC" w:rsidP="006B72E2">
      <w:pPr>
        <w:tabs>
          <w:tab w:val="left" w:pos="-1440"/>
          <w:tab w:val="left" w:pos="-720"/>
          <w:tab w:val="left" w:pos="0"/>
          <w:tab w:val="left" w:pos="600"/>
          <w:tab w:val="left" w:pos="1440"/>
          <w:tab w:val="left" w:pos="4200"/>
          <w:tab w:val="left" w:pos="5040"/>
          <w:tab w:val="left" w:pos="5760"/>
          <w:tab w:val="left" w:pos="6480"/>
          <w:tab w:val="left" w:pos="7200"/>
          <w:tab w:val="left" w:pos="7920"/>
          <w:tab w:val="left" w:pos="8640"/>
          <w:tab w:val="left" w:pos="9360"/>
        </w:tabs>
        <w:ind w:left="1440"/>
        <w:rPr>
          <w:rFonts w:ascii="Times New Roman" w:hAnsi="Times New Roman"/>
          <w:sz w:val="20"/>
          <w:szCs w:val="20"/>
          <w:u w:val="single"/>
        </w:rPr>
      </w:pPr>
      <w:r w:rsidRPr="006B72E2">
        <w:rPr>
          <w:rFonts w:ascii="Times New Roman" w:hAnsi="Times New Roman"/>
          <w:sz w:val="20"/>
          <w:szCs w:val="20"/>
          <w:u w:val="single"/>
        </w:rPr>
        <w:t xml:space="preserve">Summary of acceptance and corrective actions for particulate phosphorous QC </w:t>
      </w:r>
      <w:r w:rsidR="00D274EE" w:rsidRPr="006B72E2">
        <w:rPr>
          <w:rFonts w:ascii="Times New Roman" w:hAnsi="Times New Roman"/>
          <w:sz w:val="20"/>
          <w:szCs w:val="20"/>
          <w:u w:val="single"/>
        </w:rPr>
        <w:t>parameters</w:t>
      </w:r>
    </w:p>
    <w:p w14:paraId="38B3DEF3" w14:textId="77777777" w:rsidR="00AA1DDE" w:rsidRDefault="00AA1DDE"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461"/>
        <w:gridCol w:w="3994"/>
        <w:gridCol w:w="1483"/>
      </w:tblGrid>
      <w:tr w:rsidR="006E1CE5" w:rsidRPr="00A47B00" w14:paraId="4BE86608" w14:textId="77777777" w:rsidTr="00EB1CCE">
        <w:trPr>
          <w:trHeight w:val="620"/>
        </w:trPr>
        <w:tc>
          <w:tcPr>
            <w:tcW w:w="753" w:type="pct"/>
          </w:tcPr>
          <w:p w14:paraId="677CDC7A" w14:textId="77777777" w:rsidR="00A47B00" w:rsidRPr="0023677F" w:rsidRDefault="00A47B00" w:rsidP="006B72E2">
            <w:pPr>
              <w:rPr>
                <w:rFonts w:ascii="Times New Roman" w:hAnsi="Times New Roman"/>
                <w:b/>
                <w:sz w:val="20"/>
                <w:szCs w:val="20"/>
              </w:rPr>
            </w:pPr>
            <w:r w:rsidRPr="0023677F">
              <w:rPr>
                <w:rFonts w:ascii="Times New Roman" w:hAnsi="Times New Roman"/>
                <w:b/>
                <w:sz w:val="20"/>
                <w:szCs w:val="20"/>
              </w:rPr>
              <w:t>INDICATOR</w:t>
            </w:r>
          </w:p>
        </w:tc>
        <w:tc>
          <w:tcPr>
            <w:tcW w:w="1285" w:type="pct"/>
          </w:tcPr>
          <w:p w14:paraId="3C232A1C" w14:textId="77777777" w:rsidR="00A47B00" w:rsidRPr="0023677F" w:rsidRDefault="00A47B00" w:rsidP="006B72E2">
            <w:pPr>
              <w:rPr>
                <w:rFonts w:ascii="Times New Roman" w:hAnsi="Times New Roman"/>
                <w:b/>
                <w:sz w:val="20"/>
                <w:szCs w:val="20"/>
              </w:rPr>
            </w:pPr>
            <w:r w:rsidRPr="0023677F">
              <w:rPr>
                <w:rFonts w:ascii="Times New Roman" w:hAnsi="Times New Roman"/>
                <w:b/>
                <w:sz w:val="20"/>
                <w:szCs w:val="20"/>
              </w:rPr>
              <w:t>ACCEPTANCE/ACTION LIMITS</w:t>
            </w:r>
          </w:p>
        </w:tc>
        <w:tc>
          <w:tcPr>
            <w:tcW w:w="2188" w:type="pct"/>
          </w:tcPr>
          <w:p w14:paraId="2C133C54" w14:textId="77777777" w:rsidR="00A47B00" w:rsidRPr="0023677F" w:rsidRDefault="00A47B00" w:rsidP="006B72E2">
            <w:pPr>
              <w:rPr>
                <w:rFonts w:ascii="Times New Roman" w:hAnsi="Times New Roman"/>
                <w:b/>
                <w:sz w:val="20"/>
                <w:szCs w:val="20"/>
              </w:rPr>
            </w:pPr>
            <w:r w:rsidRPr="0023677F">
              <w:rPr>
                <w:rFonts w:ascii="Times New Roman" w:hAnsi="Times New Roman"/>
                <w:b/>
                <w:sz w:val="20"/>
                <w:szCs w:val="20"/>
              </w:rPr>
              <w:t>ACTION</w:t>
            </w:r>
          </w:p>
        </w:tc>
        <w:tc>
          <w:tcPr>
            <w:tcW w:w="774" w:type="pct"/>
          </w:tcPr>
          <w:p w14:paraId="78FE3948" w14:textId="77777777" w:rsidR="00A47B00" w:rsidRPr="0023677F" w:rsidRDefault="00A47B00" w:rsidP="006B72E2">
            <w:pPr>
              <w:jc w:val="center"/>
              <w:rPr>
                <w:rFonts w:ascii="Times New Roman" w:hAnsi="Times New Roman"/>
                <w:b/>
                <w:sz w:val="20"/>
                <w:szCs w:val="20"/>
              </w:rPr>
            </w:pPr>
            <w:r w:rsidRPr="0023677F">
              <w:rPr>
                <w:rFonts w:ascii="Times New Roman" w:hAnsi="Times New Roman"/>
                <w:b/>
                <w:sz w:val="20"/>
                <w:szCs w:val="20"/>
              </w:rPr>
              <w:t>FREQUENCY (BATCH)</w:t>
            </w:r>
          </w:p>
        </w:tc>
      </w:tr>
      <w:tr w:rsidR="006E1CE5" w:rsidRPr="00A47B00" w14:paraId="3D45EE2B" w14:textId="77777777" w:rsidTr="00EB1CCE">
        <w:tc>
          <w:tcPr>
            <w:tcW w:w="753" w:type="pct"/>
          </w:tcPr>
          <w:p w14:paraId="2D9F29E2" w14:textId="1574DE3C" w:rsidR="00A47B00" w:rsidRPr="0023677F" w:rsidRDefault="00A47B00" w:rsidP="006B72E2">
            <w:pPr>
              <w:rPr>
                <w:rFonts w:ascii="Times New Roman" w:hAnsi="Times New Roman"/>
                <w:sz w:val="20"/>
                <w:szCs w:val="20"/>
              </w:rPr>
            </w:pPr>
            <w:r w:rsidRPr="0023677F">
              <w:rPr>
                <w:rFonts w:ascii="Times New Roman" w:hAnsi="Times New Roman"/>
                <w:sz w:val="20"/>
                <w:szCs w:val="20"/>
              </w:rPr>
              <w:t>Correlation Coefficient</w:t>
            </w:r>
            <w:r w:rsidR="00EB1CCE">
              <w:rPr>
                <w:rFonts w:ascii="Times New Roman" w:hAnsi="Times New Roman"/>
                <w:sz w:val="20"/>
                <w:szCs w:val="20"/>
              </w:rPr>
              <w:t xml:space="preserve"> (r)</w:t>
            </w:r>
          </w:p>
        </w:tc>
        <w:tc>
          <w:tcPr>
            <w:tcW w:w="1285" w:type="pct"/>
          </w:tcPr>
          <w:p w14:paraId="4E1688EF" w14:textId="0FA050F2" w:rsidR="00A47B00" w:rsidRPr="0023677F" w:rsidRDefault="00EB1CCE" w:rsidP="006B72E2">
            <w:pPr>
              <w:rPr>
                <w:rFonts w:ascii="Times New Roman" w:hAnsi="Times New Roman"/>
                <w:sz w:val="20"/>
                <w:szCs w:val="20"/>
              </w:rPr>
            </w:pPr>
            <w:r>
              <w:rPr>
                <w:rFonts w:ascii="Times New Roman" w:hAnsi="Times New Roman"/>
                <w:sz w:val="20"/>
                <w:szCs w:val="20"/>
              </w:rPr>
              <w:t xml:space="preserve">r  </w:t>
            </w:r>
            <w:r w:rsidR="00A47B00" w:rsidRPr="0023677F">
              <w:rPr>
                <w:rFonts w:ascii="Times New Roman" w:hAnsi="Times New Roman"/>
                <w:sz w:val="20"/>
                <w:szCs w:val="20"/>
              </w:rPr>
              <w:t>≥  0.995</w:t>
            </w:r>
          </w:p>
        </w:tc>
        <w:tc>
          <w:tcPr>
            <w:tcW w:w="2188" w:type="pct"/>
          </w:tcPr>
          <w:p w14:paraId="51901DC0"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If &lt; 0.995, evaluate data points of the calibration curve.  If any data point is outside established limits, reject as outlier.</w:t>
            </w:r>
          </w:p>
        </w:tc>
        <w:tc>
          <w:tcPr>
            <w:tcW w:w="774" w:type="pct"/>
          </w:tcPr>
          <w:p w14:paraId="20D2424B"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1 per batch if acceptable.</w:t>
            </w:r>
          </w:p>
        </w:tc>
      </w:tr>
      <w:tr w:rsidR="00EB1CCE" w:rsidRPr="00A47B00" w14:paraId="120B7A2B" w14:textId="77777777" w:rsidTr="00EB1CCE">
        <w:tc>
          <w:tcPr>
            <w:tcW w:w="753" w:type="pct"/>
          </w:tcPr>
          <w:p w14:paraId="4A5A9722" w14:textId="77777777" w:rsidR="00EB1CCE" w:rsidRPr="0023677F" w:rsidRDefault="00EB1CCE" w:rsidP="006B72E2">
            <w:pPr>
              <w:rPr>
                <w:rFonts w:ascii="Times New Roman" w:hAnsi="Times New Roman"/>
                <w:sz w:val="20"/>
                <w:szCs w:val="20"/>
              </w:rPr>
            </w:pPr>
            <w:r w:rsidRPr="0023677F">
              <w:rPr>
                <w:rFonts w:ascii="Times New Roman" w:hAnsi="Times New Roman"/>
                <w:sz w:val="20"/>
                <w:szCs w:val="20"/>
              </w:rPr>
              <w:t>ICV</w:t>
            </w:r>
          </w:p>
        </w:tc>
        <w:tc>
          <w:tcPr>
            <w:tcW w:w="1285" w:type="pct"/>
          </w:tcPr>
          <w:p w14:paraId="1064BD29" w14:textId="77777777" w:rsidR="00EB1CCE" w:rsidRPr="0023677F" w:rsidRDefault="00EB1CCE" w:rsidP="006B72E2">
            <w:pPr>
              <w:rPr>
                <w:rFonts w:ascii="Times New Roman" w:hAnsi="Times New Roman"/>
                <w:sz w:val="20"/>
                <w:szCs w:val="20"/>
              </w:rPr>
            </w:pPr>
            <w:r w:rsidRPr="0023677F">
              <w:rPr>
                <w:rFonts w:ascii="Times New Roman" w:hAnsi="Times New Roman"/>
                <w:sz w:val="20"/>
                <w:szCs w:val="20"/>
              </w:rPr>
              <w:t>± 10%</w:t>
            </w:r>
          </w:p>
        </w:tc>
        <w:tc>
          <w:tcPr>
            <w:tcW w:w="2188" w:type="pct"/>
          </w:tcPr>
          <w:p w14:paraId="03B97E27" w14:textId="77777777" w:rsidR="00EB1CCE" w:rsidRPr="0023677F" w:rsidRDefault="00EB1CCE" w:rsidP="006B72E2">
            <w:pPr>
              <w:rPr>
                <w:rFonts w:ascii="Times New Roman" w:hAnsi="Times New Roman"/>
                <w:sz w:val="20"/>
                <w:szCs w:val="20"/>
              </w:rPr>
            </w:pPr>
            <w:r w:rsidRPr="0023677F">
              <w:rPr>
                <w:rFonts w:ascii="Times New Roman" w:hAnsi="Times New Roman"/>
                <w:sz w:val="20"/>
                <w:szCs w:val="20"/>
              </w:rPr>
              <w:t>Recalibrate if outside acceptance limits.</w:t>
            </w:r>
          </w:p>
        </w:tc>
        <w:tc>
          <w:tcPr>
            <w:tcW w:w="774" w:type="pct"/>
          </w:tcPr>
          <w:p w14:paraId="7E2950BE" w14:textId="77777777" w:rsidR="00EB1CCE" w:rsidRPr="0023677F" w:rsidRDefault="00EB1CCE" w:rsidP="006B72E2">
            <w:pPr>
              <w:rPr>
                <w:rFonts w:ascii="Times New Roman" w:hAnsi="Times New Roman"/>
                <w:sz w:val="20"/>
                <w:szCs w:val="20"/>
              </w:rPr>
            </w:pPr>
            <w:r w:rsidRPr="0023677F">
              <w:rPr>
                <w:rFonts w:ascii="Times New Roman" w:hAnsi="Times New Roman"/>
                <w:sz w:val="20"/>
                <w:szCs w:val="20"/>
              </w:rPr>
              <w:t>Beginning of run following standard curve.</w:t>
            </w:r>
          </w:p>
        </w:tc>
      </w:tr>
      <w:tr w:rsidR="006E1CE5" w:rsidRPr="00A47B00" w14:paraId="749423F8" w14:textId="77777777" w:rsidTr="00EB1CCE">
        <w:tc>
          <w:tcPr>
            <w:tcW w:w="753" w:type="pct"/>
          </w:tcPr>
          <w:p w14:paraId="3ECEC6EE" w14:textId="5210A543" w:rsidR="00A47B00" w:rsidRPr="0023677F" w:rsidRDefault="00EB1CCE" w:rsidP="006B72E2">
            <w:pPr>
              <w:rPr>
                <w:rFonts w:ascii="Times New Roman" w:hAnsi="Times New Roman"/>
                <w:sz w:val="20"/>
                <w:szCs w:val="20"/>
              </w:rPr>
            </w:pPr>
            <w:r>
              <w:rPr>
                <w:rFonts w:ascii="Times New Roman" w:hAnsi="Times New Roman"/>
                <w:sz w:val="20"/>
                <w:szCs w:val="20"/>
              </w:rPr>
              <w:t>QCS</w:t>
            </w:r>
          </w:p>
        </w:tc>
        <w:tc>
          <w:tcPr>
            <w:tcW w:w="1285" w:type="pct"/>
          </w:tcPr>
          <w:p w14:paraId="40773E1C" w14:textId="77777777" w:rsidR="00A47B00" w:rsidRDefault="00A47B00" w:rsidP="006B72E2">
            <w:pPr>
              <w:rPr>
                <w:rFonts w:ascii="Times New Roman" w:hAnsi="Times New Roman"/>
                <w:sz w:val="20"/>
                <w:szCs w:val="20"/>
              </w:rPr>
            </w:pPr>
            <w:r w:rsidRPr="0023677F">
              <w:rPr>
                <w:rFonts w:ascii="Times New Roman" w:hAnsi="Times New Roman"/>
                <w:sz w:val="20"/>
                <w:szCs w:val="20"/>
              </w:rPr>
              <w:t>± 10%</w:t>
            </w:r>
            <w:r w:rsidR="00EB1CCE">
              <w:rPr>
                <w:rFonts w:ascii="Times New Roman" w:hAnsi="Times New Roman"/>
                <w:sz w:val="20"/>
                <w:szCs w:val="20"/>
              </w:rPr>
              <w:t xml:space="preserve"> (EPA 1993)</w:t>
            </w:r>
          </w:p>
          <w:p w14:paraId="1DB2741A" w14:textId="71744B2C" w:rsidR="00EB1CCE" w:rsidRPr="0023677F" w:rsidRDefault="00EB1CCE" w:rsidP="006B72E2">
            <w:pPr>
              <w:rPr>
                <w:rFonts w:ascii="Times New Roman" w:hAnsi="Times New Roman"/>
                <w:sz w:val="20"/>
                <w:szCs w:val="20"/>
              </w:rPr>
            </w:pPr>
            <w:r w:rsidRPr="0023677F">
              <w:rPr>
                <w:rFonts w:ascii="Times New Roman" w:hAnsi="Times New Roman"/>
                <w:sz w:val="20"/>
                <w:szCs w:val="20"/>
              </w:rPr>
              <w:t>± 3s (</w:t>
            </w:r>
            <w:r>
              <w:rPr>
                <w:rFonts w:ascii="Times New Roman" w:hAnsi="Times New Roman"/>
                <w:sz w:val="20"/>
                <w:szCs w:val="20"/>
              </w:rPr>
              <w:t>NELAC</w:t>
            </w:r>
            <w:r w:rsidRPr="0023677F">
              <w:rPr>
                <w:rFonts w:ascii="Times New Roman" w:hAnsi="Times New Roman"/>
                <w:sz w:val="20"/>
                <w:szCs w:val="20"/>
              </w:rPr>
              <w:t>)</w:t>
            </w:r>
          </w:p>
        </w:tc>
        <w:tc>
          <w:tcPr>
            <w:tcW w:w="2188" w:type="pct"/>
          </w:tcPr>
          <w:p w14:paraId="621CC28A" w14:textId="5DE3C749" w:rsidR="00A47B00" w:rsidRPr="0023677F" w:rsidRDefault="00EB1CCE" w:rsidP="006B72E2">
            <w:pPr>
              <w:rPr>
                <w:rFonts w:ascii="Times New Roman" w:hAnsi="Times New Roman"/>
                <w:sz w:val="20"/>
                <w:szCs w:val="20"/>
              </w:rPr>
            </w:pPr>
            <w:r>
              <w:rPr>
                <w:rFonts w:ascii="Times New Roman" w:hAnsi="Times New Roman"/>
                <w:sz w:val="20"/>
                <w:szCs w:val="20"/>
              </w:rPr>
              <w:t>If QCS value is outside</w:t>
            </w:r>
            <w:r w:rsidR="00A47B00" w:rsidRPr="0023677F">
              <w:rPr>
                <w:rFonts w:ascii="Times New Roman" w:hAnsi="Times New Roman"/>
                <w:sz w:val="20"/>
                <w:szCs w:val="20"/>
              </w:rPr>
              <w:t xml:space="preserve"> ± 10% of the </w:t>
            </w:r>
            <w:r>
              <w:rPr>
                <w:rFonts w:ascii="Times New Roman" w:hAnsi="Times New Roman"/>
                <w:sz w:val="20"/>
                <w:szCs w:val="20"/>
              </w:rPr>
              <w:t xml:space="preserve">QCS concentration, </w:t>
            </w:r>
            <w:r w:rsidR="00A47B00" w:rsidRPr="0023677F">
              <w:rPr>
                <w:rFonts w:ascii="Times New Roman" w:hAnsi="Times New Roman"/>
                <w:sz w:val="20"/>
                <w:szCs w:val="20"/>
              </w:rPr>
              <w:t>reject the run, correct the problem and rerun samples.</w:t>
            </w:r>
          </w:p>
        </w:tc>
        <w:tc>
          <w:tcPr>
            <w:tcW w:w="774" w:type="pct"/>
          </w:tcPr>
          <w:p w14:paraId="046011B6"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Beginning of run following the ICV.</w:t>
            </w:r>
          </w:p>
        </w:tc>
      </w:tr>
      <w:tr w:rsidR="006E1CE5" w:rsidRPr="00A47B00" w14:paraId="6820BFC3" w14:textId="77777777" w:rsidTr="00EB1CCE">
        <w:tc>
          <w:tcPr>
            <w:tcW w:w="753" w:type="pct"/>
          </w:tcPr>
          <w:p w14:paraId="56A687C8"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CCV</w:t>
            </w:r>
          </w:p>
        </w:tc>
        <w:tc>
          <w:tcPr>
            <w:tcW w:w="1285" w:type="pct"/>
          </w:tcPr>
          <w:p w14:paraId="4DB3D4E1"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 10%</w:t>
            </w:r>
          </w:p>
        </w:tc>
        <w:tc>
          <w:tcPr>
            <w:tcW w:w="2188" w:type="pct"/>
          </w:tcPr>
          <w:p w14:paraId="06FA91AF"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If outside 10%, correct the problem.  Rerun all samples following the last in-control CCV.</w:t>
            </w:r>
          </w:p>
        </w:tc>
        <w:tc>
          <w:tcPr>
            <w:tcW w:w="774" w:type="pct"/>
          </w:tcPr>
          <w:p w14:paraId="55B3A729" w14:textId="36D51F47" w:rsidR="00A47B00" w:rsidRPr="0023677F" w:rsidRDefault="00EB1CCE" w:rsidP="006B72E2">
            <w:pPr>
              <w:rPr>
                <w:rFonts w:ascii="Times New Roman" w:hAnsi="Times New Roman"/>
                <w:sz w:val="20"/>
                <w:szCs w:val="20"/>
              </w:rPr>
            </w:pPr>
            <w:r>
              <w:rPr>
                <w:rFonts w:ascii="Times New Roman" w:hAnsi="Times New Roman"/>
                <w:sz w:val="20"/>
                <w:szCs w:val="20"/>
              </w:rPr>
              <w:t xml:space="preserve">After every 10-20 </w:t>
            </w:r>
            <w:r w:rsidR="00A47B00" w:rsidRPr="0023677F">
              <w:rPr>
                <w:rFonts w:ascii="Times New Roman" w:hAnsi="Times New Roman"/>
                <w:sz w:val="20"/>
                <w:szCs w:val="20"/>
              </w:rPr>
              <w:t>samples and at end of batch</w:t>
            </w:r>
          </w:p>
        </w:tc>
      </w:tr>
      <w:tr w:rsidR="006E1CE5" w:rsidRPr="00A47B00" w14:paraId="7F77FE8B" w14:textId="77777777" w:rsidTr="00EB1CCE">
        <w:tc>
          <w:tcPr>
            <w:tcW w:w="753" w:type="pct"/>
          </w:tcPr>
          <w:p w14:paraId="4B697CF2" w14:textId="594BD457" w:rsidR="00A47B00" w:rsidRPr="0023677F" w:rsidRDefault="006E1CE5" w:rsidP="006B72E2">
            <w:pPr>
              <w:rPr>
                <w:rFonts w:ascii="Times New Roman" w:hAnsi="Times New Roman"/>
                <w:sz w:val="20"/>
                <w:szCs w:val="20"/>
              </w:rPr>
            </w:pPr>
            <w:r>
              <w:rPr>
                <w:rFonts w:ascii="Times New Roman" w:hAnsi="Times New Roman"/>
                <w:sz w:val="20"/>
                <w:szCs w:val="20"/>
              </w:rPr>
              <w:t>Method Blank/</w:t>
            </w:r>
            <w:r w:rsidR="00EB1CCE">
              <w:rPr>
                <w:rFonts w:ascii="Times New Roman" w:hAnsi="Times New Roman"/>
                <w:sz w:val="20"/>
                <w:szCs w:val="20"/>
              </w:rPr>
              <w:t>Laboratory Reagent Blank</w:t>
            </w:r>
            <w:r>
              <w:rPr>
                <w:rFonts w:ascii="Times New Roman" w:hAnsi="Times New Roman"/>
                <w:sz w:val="20"/>
                <w:szCs w:val="20"/>
              </w:rPr>
              <w:t xml:space="preserve"> (LRB)</w:t>
            </w:r>
          </w:p>
        </w:tc>
        <w:tc>
          <w:tcPr>
            <w:tcW w:w="1285" w:type="pct"/>
          </w:tcPr>
          <w:p w14:paraId="28EB3957" w14:textId="77777777" w:rsidR="00A47B00" w:rsidRPr="0023677F" w:rsidRDefault="0023677F" w:rsidP="006B72E2">
            <w:pPr>
              <w:rPr>
                <w:rFonts w:ascii="Times New Roman" w:hAnsi="Times New Roman"/>
                <w:sz w:val="20"/>
                <w:szCs w:val="20"/>
              </w:rPr>
            </w:pPr>
            <w:r>
              <w:rPr>
                <w:rFonts w:ascii="Times New Roman" w:hAnsi="Times New Roman"/>
                <w:sz w:val="20"/>
                <w:szCs w:val="20"/>
              </w:rPr>
              <w:t xml:space="preserve">≤ </w:t>
            </w:r>
            <w:r w:rsidR="00A47B00" w:rsidRPr="0023677F">
              <w:rPr>
                <w:rFonts w:ascii="Times New Roman" w:hAnsi="Times New Roman"/>
                <w:sz w:val="20"/>
                <w:szCs w:val="20"/>
              </w:rPr>
              <w:t xml:space="preserve"> Method Quantitation Limit</w:t>
            </w:r>
          </w:p>
        </w:tc>
        <w:tc>
          <w:tcPr>
            <w:tcW w:w="2188" w:type="pct"/>
          </w:tcPr>
          <w:p w14:paraId="630387E2" w14:textId="77777777" w:rsidR="00A47B00" w:rsidRPr="0023677F" w:rsidRDefault="0023677F" w:rsidP="006B72E2">
            <w:pPr>
              <w:rPr>
                <w:rFonts w:ascii="Times New Roman" w:hAnsi="Times New Roman"/>
                <w:sz w:val="20"/>
                <w:szCs w:val="20"/>
              </w:rPr>
            </w:pPr>
            <w:r>
              <w:rPr>
                <w:rFonts w:ascii="Times New Roman" w:hAnsi="Times New Roman"/>
                <w:sz w:val="20"/>
                <w:szCs w:val="20"/>
              </w:rPr>
              <w:t>If the LRB exceeds</w:t>
            </w:r>
            <w:r w:rsidR="00A47B00" w:rsidRPr="0023677F">
              <w:rPr>
                <w:rFonts w:ascii="Times New Roman" w:hAnsi="Times New Roman"/>
                <w:sz w:val="20"/>
                <w:szCs w:val="20"/>
              </w:rPr>
              <w:t xml:space="preserve"> the quantitation limit, results are suspect.  Rerun the LRB.  If t</w:t>
            </w:r>
            <w:r>
              <w:rPr>
                <w:rFonts w:ascii="Times New Roman" w:hAnsi="Times New Roman"/>
                <w:sz w:val="20"/>
                <w:szCs w:val="20"/>
              </w:rPr>
              <w:t>he concentration still exceeds</w:t>
            </w:r>
            <w:r w:rsidR="00A47B00" w:rsidRPr="0023677F">
              <w:rPr>
                <w:rFonts w:ascii="Times New Roman" w:hAnsi="Times New Roman"/>
                <w:sz w:val="20"/>
                <w:szCs w:val="20"/>
              </w:rPr>
              <w:t xml:space="preserve"> the quantitation limit, reject or qualify the data, or raise the quantitation limit.</w:t>
            </w:r>
          </w:p>
        </w:tc>
        <w:tc>
          <w:tcPr>
            <w:tcW w:w="774" w:type="pct"/>
          </w:tcPr>
          <w:p w14:paraId="1980DBAB" w14:textId="29AB7D75" w:rsidR="00A47B00" w:rsidRPr="0023677F" w:rsidRDefault="00A47B00" w:rsidP="006B72E2">
            <w:pPr>
              <w:rPr>
                <w:rFonts w:ascii="Times New Roman" w:hAnsi="Times New Roman"/>
                <w:sz w:val="20"/>
                <w:szCs w:val="20"/>
              </w:rPr>
            </w:pPr>
            <w:r w:rsidRPr="0023677F">
              <w:rPr>
                <w:rFonts w:ascii="Times New Roman" w:hAnsi="Times New Roman"/>
                <w:sz w:val="20"/>
                <w:szCs w:val="20"/>
              </w:rPr>
              <w:t>Fo</w:t>
            </w:r>
            <w:r w:rsidR="006E1CE5">
              <w:rPr>
                <w:rFonts w:ascii="Times New Roman" w:hAnsi="Times New Roman"/>
                <w:sz w:val="20"/>
                <w:szCs w:val="20"/>
              </w:rPr>
              <w:t xml:space="preserve">llowing ICV, after every 10-20 </w:t>
            </w:r>
            <w:r w:rsidRPr="0023677F">
              <w:rPr>
                <w:rFonts w:ascii="Times New Roman" w:hAnsi="Times New Roman"/>
                <w:sz w:val="20"/>
                <w:szCs w:val="20"/>
              </w:rPr>
              <w:t>samples and at the end of the run.</w:t>
            </w:r>
          </w:p>
        </w:tc>
      </w:tr>
      <w:tr w:rsidR="006E1CE5" w:rsidRPr="00A47B00" w14:paraId="470AE4F4" w14:textId="77777777" w:rsidTr="00EB1CCE">
        <w:tc>
          <w:tcPr>
            <w:tcW w:w="753" w:type="pct"/>
          </w:tcPr>
          <w:p w14:paraId="396D0904" w14:textId="6241D97C" w:rsidR="00A47B00" w:rsidRPr="0023677F" w:rsidRDefault="00A47B00" w:rsidP="006B72E2">
            <w:pPr>
              <w:rPr>
                <w:rFonts w:ascii="Times New Roman" w:hAnsi="Times New Roman"/>
                <w:sz w:val="20"/>
                <w:szCs w:val="20"/>
              </w:rPr>
            </w:pPr>
            <w:r w:rsidRPr="0023677F">
              <w:rPr>
                <w:rFonts w:ascii="Times New Roman" w:hAnsi="Times New Roman"/>
                <w:sz w:val="20"/>
                <w:szCs w:val="20"/>
              </w:rPr>
              <w:t>M</w:t>
            </w:r>
            <w:r w:rsidR="006E1CE5">
              <w:rPr>
                <w:rFonts w:ascii="Times New Roman" w:hAnsi="Times New Roman"/>
                <w:sz w:val="20"/>
                <w:szCs w:val="20"/>
              </w:rPr>
              <w:t xml:space="preserve">ethod </w:t>
            </w:r>
            <w:r w:rsidR="006E1CE5">
              <w:rPr>
                <w:rFonts w:ascii="Times New Roman" w:hAnsi="Times New Roman"/>
                <w:sz w:val="20"/>
                <w:szCs w:val="20"/>
              </w:rPr>
              <w:lastRenderedPageBreak/>
              <w:t>Quantitation Limit (MQL) check standard</w:t>
            </w:r>
          </w:p>
        </w:tc>
        <w:tc>
          <w:tcPr>
            <w:tcW w:w="1285" w:type="pct"/>
          </w:tcPr>
          <w:p w14:paraId="14E5EBA0" w14:textId="77777777" w:rsidR="00A47B00" w:rsidRPr="006E1CE5" w:rsidRDefault="006E1CE5" w:rsidP="006B72E2">
            <w:pPr>
              <w:rPr>
                <w:rFonts w:ascii="Times New Roman" w:hAnsi="Times New Roman"/>
                <w:sz w:val="20"/>
                <w:szCs w:val="20"/>
                <w:highlight w:val="yellow"/>
              </w:rPr>
            </w:pPr>
            <w:r w:rsidRPr="006E1CE5">
              <w:rPr>
                <w:rFonts w:ascii="Times New Roman" w:hAnsi="Times New Roman"/>
                <w:sz w:val="20"/>
                <w:szCs w:val="20"/>
                <w:highlight w:val="yellow"/>
              </w:rPr>
              <w:lastRenderedPageBreak/>
              <w:t xml:space="preserve">Within </w:t>
            </w:r>
            <w:r w:rsidRPr="006E1CE5">
              <w:rPr>
                <w:rFonts w:ascii="Times New Roman" w:hAnsi="Times New Roman"/>
                <w:sz w:val="20"/>
                <w:szCs w:val="20"/>
                <w:highlight w:val="yellow"/>
                <w:u w:val="single"/>
              </w:rPr>
              <w:t>+</w:t>
            </w:r>
            <w:r w:rsidRPr="006E1CE5">
              <w:rPr>
                <w:rFonts w:ascii="Times New Roman" w:hAnsi="Times New Roman"/>
                <w:sz w:val="20"/>
                <w:szCs w:val="20"/>
                <w:highlight w:val="yellow"/>
              </w:rPr>
              <w:t>3s</w:t>
            </w:r>
            <w:r w:rsidRPr="006E1CE5">
              <w:rPr>
                <w:rFonts w:ascii="Times New Roman" w:hAnsi="Times New Roman"/>
                <w:sz w:val="20"/>
                <w:szCs w:val="20"/>
                <w:highlight w:val="yellow"/>
              </w:rPr>
              <w:t xml:space="preserve"> of average </w:t>
            </w:r>
            <w:r w:rsidRPr="006E1CE5">
              <w:rPr>
                <w:rFonts w:ascii="Times New Roman" w:hAnsi="Times New Roman"/>
                <w:sz w:val="20"/>
                <w:szCs w:val="20"/>
                <w:highlight w:val="yellow"/>
              </w:rPr>
              <w:lastRenderedPageBreak/>
              <w:t>M</w:t>
            </w:r>
            <w:r w:rsidR="00A47B00" w:rsidRPr="006E1CE5">
              <w:rPr>
                <w:rFonts w:ascii="Times New Roman" w:hAnsi="Times New Roman"/>
                <w:sz w:val="20"/>
                <w:szCs w:val="20"/>
                <w:highlight w:val="yellow"/>
              </w:rPr>
              <w:t xml:space="preserve">QL </w:t>
            </w:r>
            <w:r w:rsidRPr="006E1CE5">
              <w:rPr>
                <w:rFonts w:ascii="Times New Roman" w:hAnsi="Times New Roman"/>
                <w:sz w:val="20"/>
                <w:szCs w:val="20"/>
                <w:highlight w:val="yellow"/>
              </w:rPr>
              <w:t>check standard output?</w:t>
            </w:r>
          </w:p>
          <w:p w14:paraId="26FFB54C" w14:textId="451DED08" w:rsidR="006E1CE5" w:rsidRPr="006E1CE5" w:rsidRDefault="006E1CE5" w:rsidP="006B72E2">
            <w:pPr>
              <w:rPr>
                <w:rFonts w:ascii="Times New Roman" w:hAnsi="Times New Roman"/>
                <w:sz w:val="20"/>
                <w:szCs w:val="20"/>
                <w:highlight w:val="yellow"/>
              </w:rPr>
            </w:pPr>
            <w:r w:rsidRPr="006E1CE5">
              <w:rPr>
                <w:rFonts w:ascii="Times New Roman" w:hAnsi="Times New Roman"/>
                <w:sz w:val="20"/>
                <w:szCs w:val="20"/>
                <w:highlight w:val="yellow"/>
              </w:rPr>
              <w:t>±30</w:t>
            </w:r>
            <w:proofErr w:type="gramStart"/>
            <w:r w:rsidRPr="006E1CE5">
              <w:rPr>
                <w:rFonts w:ascii="Times New Roman" w:hAnsi="Times New Roman"/>
                <w:sz w:val="20"/>
                <w:szCs w:val="20"/>
                <w:highlight w:val="yellow"/>
              </w:rPr>
              <w:t>% ?</w:t>
            </w:r>
            <w:proofErr w:type="gramEnd"/>
          </w:p>
        </w:tc>
        <w:tc>
          <w:tcPr>
            <w:tcW w:w="2188" w:type="pct"/>
          </w:tcPr>
          <w:p w14:paraId="3ADAEC17" w14:textId="360AD079" w:rsidR="00A47B00" w:rsidRPr="0023677F" w:rsidRDefault="00A47B00" w:rsidP="006B72E2">
            <w:pPr>
              <w:rPr>
                <w:rFonts w:ascii="Times New Roman" w:hAnsi="Times New Roman"/>
                <w:sz w:val="20"/>
                <w:szCs w:val="20"/>
              </w:rPr>
            </w:pPr>
            <w:r w:rsidRPr="0023677F">
              <w:rPr>
                <w:rFonts w:ascii="Times New Roman" w:hAnsi="Times New Roman"/>
                <w:sz w:val="20"/>
                <w:szCs w:val="20"/>
              </w:rPr>
              <w:lastRenderedPageBreak/>
              <w:t>When the valu</w:t>
            </w:r>
            <w:r w:rsidR="006E1CE5">
              <w:rPr>
                <w:rFonts w:ascii="Times New Roman" w:hAnsi="Times New Roman"/>
                <w:sz w:val="20"/>
                <w:szCs w:val="20"/>
              </w:rPr>
              <w:t xml:space="preserve">e is outside the predetermined </w:t>
            </w:r>
            <w:r w:rsidRPr="0023677F">
              <w:rPr>
                <w:rFonts w:ascii="Times New Roman" w:hAnsi="Times New Roman"/>
                <w:sz w:val="20"/>
                <w:szCs w:val="20"/>
              </w:rPr>
              <w:lastRenderedPageBreak/>
              <w:t>limit and the ICV is acceptable, reanalyze the sample.  If the reanalysis is unaccepta</w:t>
            </w:r>
            <w:r w:rsidR="006E1CE5">
              <w:rPr>
                <w:rFonts w:ascii="Times New Roman" w:hAnsi="Times New Roman"/>
                <w:sz w:val="20"/>
                <w:szCs w:val="20"/>
              </w:rPr>
              <w:t>ble, increase the concentration</w:t>
            </w:r>
            <w:r w:rsidRPr="0023677F">
              <w:rPr>
                <w:rFonts w:ascii="Times New Roman" w:hAnsi="Times New Roman"/>
                <w:sz w:val="20"/>
                <w:szCs w:val="20"/>
              </w:rPr>
              <w:t xml:space="preserve"> and reanalyze.  If this higher concentration meets the acceptance criteria, raise the reporting limit for the batch.</w:t>
            </w:r>
          </w:p>
        </w:tc>
        <w:tc>
          <w:tcPr>
            <w:tcW w:w="774" w:type="pct"/>
          </w:tcPr>
          <w:p w14:paraId="7BA01321"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lastRenderedPageBreak/>
              <w:t xml:space="preserve">Beginning of </w:t>
            </w:r>
            <w:r w:rsidRPr="0023677F">
              <w:rPr>
                <w:rFonts w:ascii="Times New Roman" w:hAnsi="Times New Roman"/>
                <w:sz w:val="20"/>
                <w:szCs w:val="20"/>
              </w:rPr>
              <w:lastRenderedPageBreak/>
              <w:t>run following the LRB</w:t>
            </w:r>
          </w:p>
        </w:tc>
      </w:tr>
      <w:tr w:rsidR="006E1CE5" w:rsidRPr="00A47B00" w14:paraId="10EC0BAF" w14:textId="77777777" w:rsidTr="00EB1CCE">
        <w:tc>
          <w:tcPr>
            <w:tcW w:w="753" w:type="pct"/>
          </w:tcPr>
          <w:p w14:paraId="07FE4A2C" w14:textId="5BA4149D" w:rsidR="00A47B00" w:rsidRPr="0023677F" w:rsidRDefault="00A47B00" w:rsidP="006B72E2">
            <w:pPr>
              <w:rPr>
                <w:rFonts w:ascii="Times New Roman" w:hAnsi="Times New Roman"/>
                <w:sz w:val="20"/>
                <w:szCs w:val="20"/>
              </w:rPr>
            </w:pPr>
            <w:r w:rsidRPr="0023677F">
              <w:rPr>
                <w:rFonts w:ascii="Times New Roman" w:hAnsi="Times New Roman"/>
                <w:sz w:val="20"/>
                <w:szCs w:val="20"/>
              </w:rPr>
              <w:lastRenderedPageBreak/>
              <w:t xml:space="preserve">Laboratory </w:t>
            </w:r>
            <w:r w:rsidR="006E1CE5">
              <w:rPr>
                <w:rFonts w:ascii="Times New Roman" w:hAnsi="Times New Roman"/>
                <w:sz w:val="20"/>
                <w:szCs w:val="20"/>
              </w:rPr>
              <w:t>Matrix Spike Sample</w:t>
            </w:r>
          </w:p>
        </w:tc>
        <w:tc>
          <w:tcPr>
            <w:tcW w:w="1285" w:type="pct"/>
          </w:tcPr>
          <w:p w14:paraId="4170322E"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 20%</w:t>
            </w:r>
          </w:p>
        </w:tc>
        <w:tc>
          <w:tcPr>
            <w:tcW w:w="2188" w:type="pct"/>
          </w:tcPr>
          <w:p w14:paraId="0841F165"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 xml:space="preserve">If the recovery of any </w:t>
            </w:r>
            <w:proofErr w:type="spellStart"/>
            <w:r w:rsidRPr="0023677F">
              <w:rPr>
                <w:rFonts w:ascii="Times New Roman" w:hAnsi="Times New Roman"/>
                <w:sz w:val="20"/>
                <w:szCs w:val="20"/>
              </w:rPr>
              <w:t>analyte</w:t>
            </w:r>
            <w:proofErr w:type="spellEnd"/>
            <w:r w:rsidRPr="0023677F">
              <w:rPr>
                <w:rFonts w:ascii="Times New Roman" w:hAnsi="Times New Roman"/>
                <w:sz w:val="20"/>
                <w:szCs w:val="20"/>
              </w:rPr>
              <w:t xml:space="preserve"> falls outside the designated acceptance limits and the QCS is in control, the recovery problem is judged matrix induced.  Repeat the LFM and if the sample results are again outside the acceptable recovery range, the sample should be reported with a “matrix induced bias” qualifier.</w:t>
            </w:r>
          </w:p>
        </w:tc>
        <w:tc>
          <w:tcPr>
            <w:tcW w:w="774" w:type="pct"/>
          </w:tcPr>
          <w:p w14:paraId="64D66BA2" w14:textId="57EC73F8" w:rsidR="00A47B00" w:rsidRPr="0023677F" w:rsidRDefault="00A47B00" w:rsidP="006B72E2">
            <w:pPr>
              <w:rPr>
                <w:rFonts w:ascii="Times New Roman" w:hAnsi="Times New Roman"/>
                <w:sz w:val="20"/>
                <w:szCs w:val="20"/>
              </w:rPr>
            </w:pPr>
            <w:r w:rsidRPr="0023677F">
              <w:rPr>
                <w:rFonts w:ascii="Times New Roman" w:hAnsi="Times New Roman"/>
                <w:sz w:val="20"/>
                <w:szCs w:val="20"/>
              </w:rPr>
              <w:t>After every 10</w:t>
            </w:r>
            <w:r w:rsidR="006E1CE5">
              <w:rPr>
                <w:rFonts w:ascii="Times New Roman" w:hAnsi="Times New Roman"/>
                <w:sz w:val="20"/>
                <w:szCs w:val="20"/>
              </w:rPr>
              <w:t>-20</w:t>
            </w:r>
            <w:r w:rsidRPr="0023677F">
              <w:rPr>
                <w:rFonts w:ascii="Times New Roman" w:hAnsi="Times New Roman"/>
                <w:sz w:val="20"/>
                <w:szCs w:val="20"/>
              </w:rPr>
              <w:t xml:space="preserve"> samples</w:t>
            </w:r>
          </w:p>
        </w:tc>
      </w:tr>
      <w:tr w:rsidR="006E1CE5" w:rsidRPr="00A47B00" w14:paraId="52D58466" w14:textId="77777777" w:rsidTr="00EB1CCE">
        <w:tc>
          <w:tcPr>
            <w:tcW w:w="753" w:type="pct"/>
          </w:tcPr>
          <w:p w14:paraId="4A88E648" w14:textId="40B7BE0D" w:rsidR="00A47B00" w:rsidRPr="0023677F" w:rsidRDefault="00A47B00" w:rsidP="006B72E2">
            <w:pPr>
              <w:rPr>
                <w:rFonts w:ascii="Times New Roman" w:hAnsi="Times New Roman"/>
                <w:sz w:val="20"/>
                <w:szCs w:val="20"/>
              </w:rPr>
            </w:pPr>
            <w:r w:rsidRPr="0023677F">
              <w:rPr>
                <w:rFonts w:ascii="Times New Roman" w:hAnsi="Times New Roman"/>
                <w:sz w:val="20"/>
                <w:szCs w:val="20"/>
              </w:rPr>
              <w:t>Laboratory Duplicate</w:t>
            </w:r>
            <w:r w:rsidR="006E1CE5">
              <w:rPr>
                <w:rFonts w:ascii="Times New Roman" w:hAnsi="Times New Roman"/>
                <w:sz w:val="20"/>
                <w:szCs w:val="20"/>
              </w:rPr>
              <w:t xml:space="preserve"> Sample</w:t>
            </w:r>
          </w:p>
        </w:tc>
        <w:tc>
          <w:tcPr>
            <w:tcW w:w="1285" w:type="pct"/>
          </w:tcPr>
          <w:p w14:paraId="00F72A5B"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 20%</w:t>
            </w:r>
          </w:p>
        </w:tc>
        <w:tc>
          <w:tcPr>
            <w:tcW w:w="2188" w:type="pct"/>
          </w:tcPr>
          <w:p w14:paraId="2520A280" w14:textId="77777777" w:rsidR="00A47B00" w:rsidRPr="0023677F" w:rsidRDefault="00A47B00" w:rsidP="006B72E2">
            <w:pPr>
              <w:rPr>
                <w:rFonts w:ascii="Times New Roman" w:hAnsi="Times New Roman"/>
                <w:sz w:val="20"/>
                <w:szCs w:val="20"/>
              </w:rPr>
            </w:pPr>
            <w:r w:rsidRPr="0023677F">
              <w:rPr>
                <w:rFonts w:ascii="Times New Roman" w:hAnsi="Times New Roman"/>
                <w:sz w:val="20"/>
                <w:szCs w:val="20"/>
              </w:rPr>
              <w:t>If the RPD fails to meet the acceptance limits, the samples should be reanalyzed.  If the RPD again fails to meet the acceptance limits, the sample must be reported with a qualifier identifying the sample analysis result as not having acceptable RPD for duplicate analysis.</w:t>
            </w:r>
          </w:p>
        </w:tc>
        <w:tc>
          <w:tcPr>
            <w:tcW w:w="774" w:type="pct"/>
          </w:tcPr>
          <w:p w14:paraId="7006E03D" w14:textId="4B5BB81B" w:rsidR="00A47B00" w:rsidRPr="0023677F" w:rsidRDefault="006E1CE5" w:rsidP="006B72E2">
            <w:pPr>
              <w:rPr>
                <w:rFonts w:ascii="Times New Roman" w:hAnsi="Times New Roman"/>
                <w:sz w:val="20"/>
                <w:szCs w:val="20"/>
              </w:rPr>
            </w:pPr>
            <w:r>
              <w:rPr>
                <w:rFonts w:ascii="Times New Roman" w:hAnsi="Times New Roman"/>
                <w:sz w:val="20"/>
                <w:szCs w:val="20"/>
              </w:rPr>
              <w:t xml:space="preserve">After every 10-20 </w:t>
            </w:r>
            <w:r w:rsidR="00A47B00" w:rsidRPr="0023677F">
              <w:rPr>
                <w:rFonts w:ascii="Times New Roman" w:hAnsi="Times New Roman"/>
                <w:sz w:val="20"/>
                <w:szCs w:val="20"/>
              </w:rPr>
              <w:t>samples.</w:t>
            </w:r>
          </w:p>
        </w:tc>
      </w:tr>
    </w:tbl>
    <w:p w14:paraId="6445256E" w14:textId="77777777" w:rsidR="00D90B36" w:rsidRDefault="00D90B36"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36"/>
          <w:szCs w:val="36"/>
        </w:rPr>
        <w:sectPr w:rsidR="00D90B36" w:rsidSect="003B7B0D">
          <w:type w:val="continuous"/>
          <w:pgSz w:w="12240" w:h="15840"/>
          <w:pgMar w:top="1440" w:right="1440" w:bottom="1440" w:left="1440" w:header="1440" w:footer="1440" w:gutter="0"/>
          <w:cols w:space="720"/>
          <w:noEndnote/>
        </w:sectPr>
      </w:pPr>
    </w:p>
    <w:p w14:paraId="4BB9C7C6" w14:textId="77777777" w:rsidR="00572B4E" w:rsidRDefault="00572B4E" w:rsidP="006B72E2">
      <w:pPr>
        <w:widowControl/>
        <w:autoSpaceDE/>
        <w:autoSpaceDN/>
        <w:adjustRightInd/>
        <w:rPr>
          <w:rFonts w:ascii="Times New Roman" w:hAnsi="Times New Roman"/>
          <w:sz w:val="20"/>
          <w:szCs w:val="20"/>
        </w:rPr>
      </w:pPr>
    </w:p>
    <w:p w14:paraId="3131D677" w14:textId="77777777" w:rsidR="0023677F" w:rsidRDefault="0023677F" w:rsidP="006B72E2">
      <w:pPr>
        <w:widowControl/>
        <w:autoSpaceDE/>
        <w:autoSpaceDN/>
        <w:adjustRightInd/>
        <w:rPr>
          <w:rFonts w:ascii="Times New Roman" w:hAnsi="Times New Roman"/>
          <w:sz w:val="20"/>
          <w:szCs w:val="20"/>
        </w:rPr>
      </w:pPr>
    </w:p>
    <w:p w14:paraId="5FFD5D68" w14:textId="77777777" w:rsidR="0023677F" w:rsidRDefault="0023677F" w:rsidP="006B72E2">
      <w:pPr>
        <w:widowControl/>
        <w:autoSpaceDE/>
        <w:autoSpaceDN/>
        <w:adjustRightInd/>
        <w:rPr>
          <w:rFonts w:ascii="Times New Roman" w:hAnsi="Times New Roman"/>
          <w:sz w:val="20"/>
          <w:szCs w:val="20"/>
        </w:rPr>
      </w:pPr>
    </w:p>
    <w:p w14:paraId="670CC446" w14:textId="0FF00F2D" w:rsidR="00D90B36" w:rsidRDefault="00FC2A81"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LISTNUM 2 \l 2</w:instrText>
      </w:r>
      <w:r>
        <w:rPr>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References</w:t>
      </w:r>
    </w:p>
    <w:p w14:paraId="1FBB9B09" w14:textId="77777777" w:rsidR="006B72E2" w:rsidRPr="002D41F2" w:rsidRDefault="006B72E2" w:rsidP="006B72E2">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imes New Roman" w:hAnsi="Times New Roman"/>
          <w:sz w:val="20"/>
          <w:szCs w:val="20"/>
        </w:rPr>
      </w:pPr>
    </w:p>
    <w:p w14:paraId="51F35D51" w14:textId="0FA3EE4F" w:rsidR="00983A6F" w:rsidRDefault="00983A6F" w:rsidP="006B72E2">
      <w:pPr>
        <w:widowControl/>
        <w:numPr>
          <w:ilvl w:val="0"/>
          <w:numId w:val="2"/>
        </w:numPr>
        <w:rPr>
          <w:rFonts w:ascii="Times New Roman" w:eastAsia="Calibri" w:hAnsi="Times New Roman"/>
          <w:sz w:val="20"/>
          <w:szCs w:val="20"/>
        </w:rPr>
      </w:pPr>
      <w:r>
        <w:rPr>
          <w:rFonts w:ascii="Times New Roman" w:eastAsia="Calibri" w:hAnsi="Times New Roman"/>
          <w:sz w:val="20"/>
          <w:szCs w:val="20"/>
        </w:rPr>
        <w:t>US Environmental Protection Agency, Methods for the determination of Inorganic Substances in Environmental Samples, EPA-600/R-93/100, August 1993, Method 365.1.</w:t>
      </w:r>
    </w:p>
    <w:p w14:paraId="7B375F57" w14:textId="77777777" w:rsidR="006B72E2" w:rsidRDefault="006B72E2" w:rsidP="006B72E2">
      <w:pPr>
        <w:widowControl/>
        <w:ind w:left="900"/>
        <w:rPr>
          <w:rFonts w:ascii="Times New Roman" w:eastAsia="Calibri" w:hAnsi="Times New Roman"/>
          <w:sz w:val="20"/>
          <w:szCs w:val="20"/>
        </w:rPr>
      </w:pPr>
    </w:p>
    <w:p w14:paraId="6C00F107" w14:textId="004FC778" w:rsidR="002D41F2" w:rsidRDefault="002D41F2" w:rsidP="006B72E2">
      <w:pPr>
        <w:widowControl/>
        <w:numPr>
          <w:ilvl w:val="0"/>
          <w:numId w:val="2"/>
        </w:numPr>
        <w:rPr>
          <w:rFonts w:ascii="Times New Roman" w:eastAsia="Calibri" w:hAnsi="Times New Roman"/>
          <w:sz w:val="20"/>
          <w:szCs w:val="20"/>
        </w:rPr>
      </w:pPr>
      <w:proofErr w:type="spellStart"/>
      <w:r>
        <w:rPr>
          <w:rFonts w:ascii="Times New Roman" w:eastAsia="Calibri" w:hAnsi="Times New Roman"/>
          <w:sz w:val="20"/>
          <w:szCs w:val="20"/>
        </w:rPr>
        <w:t>Aspila</w:t>
      </w:r>
      <w:proofErr w:type="spellEnd"/>
      <w:r>
        <w:rPr>
          <w:rFonts w:ascii="Times New Roman" w:eastAsia="Calibri" w:hAnsi="Times New Roman"/>
          <w:sz w:val="20"/>
          <w:szCs w:val="20"/>
        </w:rPr>
        <w:t xml:space="preserve">, K.I., </w:t>
      </w:r>
      <w:proofErr w:type="spellStart"/>
      <w:r>
        <w:rPr>
          <w:rFonts w:ascii="Times New Roman" w:eastAsia="Calibri" w:hAnsi="Times New Roman"/>
          <w:sz w:val="20"/>
          <w:szCs w:val="20"/>
        </w:rPr>
        <w:t>Agemian</w:t>
      </w:r>
      <w:proofErr w:type="spellEnd"/>
      <w:r>
        <w:rPr>
          <w:rFonts w:ascii="Times New Roman" w:eastAsia="Calibri" w:hAnsi="Times New Roman"/>
          <w:sz w:val="20"/>
          <w:szCs w:val="20"/>
        </w:rPr>
        <w:t xml:space="preserve">, H., Chau, A.S.Y. 1976. A semi-automated method for the determination of inorganic, organic and total phosphate in sediments. </w:t>
      </w:r>
      <w:r w:rsidRPr="002D41F2">
        <w:rPr>
          <w:rFonts w:ascii="Times New Roman" w:eastAsia="Calibri" w:hAnsi="Times New Roman"/>
          <w:i/>
          <w:sz w:val="20"/>
          <w:szCs w:val="20"/>
        </w:rPr>
        <w:t>Analyst</w:t>
      </w:r>
      <w:r>
        <w:rPr>
          <w:rFonts w:ascii="Times New Roman" w:eastAsia="Calibri" w:hAnsi="Times New Roman"/>
          <w:sz w:val="20"/>
          <w:szCs w:val="20"/>
        </w:rPr>
        <w:t xml:space="preserve"> 101: 187-197.</w:t>
      </w:r>
    </w:p>
    <w:p w14:paraId="165179DB" w14:textId="77777777" w:rsidR="006B72E2" w:rsidRDefault="006B72E2" w:rsidP="006B72E2">
      <w:pPr>
        <w:widowControl/>
        <w:rPr>
          <w:rFonts w:ascii="Times New Roman" w:eastAsia="Calibri" w:hAnsi="Times New Roman"/>
          <w:sz w:val="20"/>
          <w:szCs w:val="20"/>
        </w:rPr>
      </w:pPr>
    </w:p>
    <w:p w14:paraId="46BA1FCE" w14:textId="74EF58D9" w:rsidR="002D41F2" w:rsidRDefault="002D41F2" w:rsidP="006B72E2">
      <w:pPr>
        <w:widowControl/>
        <w:numPr>
          <w:ilvl w:val="0"/>
          <w:numId w:val="2"/>
        </w:numPr>
        <w:rPr>
          <w:rFonts w:ascii="Times New Roman" w:eastAsia="Calibri" w:hAnsi="Times New Roman"/>
          <w:sz w:val="20"/>
          <w:szCs w:val="20"/>
        </w:rPr>
      </w:pPr>
      <w:r>
        <w:rPr>
          <w:rFonts w:ascii="Times New Roman" w:eastAsia="Calibri" w:hAnsi="Times New Roman"/>
          <w:sz w:val="20"/>
          <w:szCs w:val="20"/>
        </w:rPr>
        <w:t xml:space="preserve">Standard Methods for the </w:t>
      </w:r>
      <w:r w:rsidR="00983A6F">
        <w:rPr>
          <w:rFonts w:ascii="Times New Roman" w:eastAsia="Calibri" w:hAnsi="Times New Roman"/>
          <w:sz w:val="20"/>
          <w:szCs w:val="20"/>
        </w:rPr>
        <w:t>Examination of Water and Wastewater, 14</w:t>
      </w:r>
      <w:r w:rsidR="00983A6F" w:rsidRPr="00983A6F">
        <w:rPr>
          <w:rFonts w:ascii="Times New Roman" w:eastAsia="Calibri" w:hAnsi="Times New Roman"/>
          <w:sz w:val="20"/>
          <w:szCs w:val="20"/>
          <w:vertAlign w:val="superscript"/>
        </w:rPr>
        <w:t>th</w:t>
      </w:r>
      <w:r w:rsidR="00983A6F">
        <w:rPr>
          <w:rFonts w:ascii="Times New Roman" w:eastAsia="Calibri" w:hAnsi="Times New Roman"/>
          <w:sz w:val="20"/>
          <w:szCs w:val="20"/>
        </w:rPr>
        <w:t xml:space="preserve"> edition, p 1193, 1976.</w:t>
      </w:r>
    </w:p>
    <w:p w14:paraId="7BF87057" w14:textId="77777777" w:rsidR="006B72E2" w:rsidRDefault="006B72E2" w:rsidP="006B72E2">
      <w:pPr>
        <w:widowControl/>
        <w:rPr>
          <w:rFonts w:ascii="Times New Roman" w:eastAsia="Calibri" w:hAnsi="Times New Roman"/>
          <w:sz w:val="20"/>
          <w:szCs w:val="20"/>
        </w:rPr>
      </w:pPr>
    </w:p>
    <w:p w14:paraId="5412FF58" w14:textId="43FC90D7" w:rsidR="00983A6F" w:rsidRDefault="00983A6F" w:rsidP="006B72E2">
      <w:pPr>
        <w:widowControl/>
        <w:numPr>
          <w:ilvl w:val="0"/>
          <w:numId w:val="2"/>
        </w:numPr>
        <w:rPr>
          <w:rFonts w:ascii="Times New Roman" w:eastAsia="Calibri" w:hAnsi="Times New Roman"/>
          <w:sz w:val="20"/>
          <w:szCs w:val="20"/>
        </w:rPr>
      </w:pPr>
      <w:r>
        <w:rPr>
          <w:rFonts w:ascii="Times New Roman" w:eastAsia="Calibri" w:hAnsi="Times New Roman"/>
          <w:sz w:val="20"/>
          <w:szCs w:val="20"/>
        </w:rPr>
        <w:t>Annual Book of ASTM Standards, Part 31, “Water”, Standard D 515-72, p 389, 1976.</w:t>
      </w:r>
    </w:p>
    <w:p w14:paraId="2EAB4811" w14:textId="77777777" w:rsidR="006B72E2" w:rsidRDefault="006B72E2" w:rsidP="006B72E2">
      <w:pPr>
        <w:widowControl/>
        <w:ind w:left="900"/>
        <w:rPr>
          <w:rFonts w:ascii="Times New Roman" w:eastAsia="Calibri" w:hAnsi="Times New Roman"/>
          <w:sz w:val="20"/>
          <w:szCs w:val="20"/>
        </w:rPr>
      </w:pPr>
    </w:p>
    <w:p w14:paraId="43DB0285" w14:textId="4F57C9D4" w:rsidR="00983A6F" w:rsidRDefault="00983A6F" w:rsidP="006B72E2">
      <w:pPr>
        <w:widowControl/>
        <w:numPr>
          <w:ilvl w:val="0"/>
          <w:numId w:val="2"/>
        </w:numPr>
        <w:rPr>
          <w:rFonts w:ascii="Times New Roman" w:eastAsia="Calibri" w:hAnsi="Times New Roman"/>
          <w:sz w:val="20"/>
          <w:szCs w:val="20"/>
        </w:rPr>
      </w:pPr>
      <w:r>
        <w:rPr>
          <w:rFonts w:ascii="Times New Roman" w:eastAsia="Calibri" w:hAnsi="Times New Roman"/>
          <w:sz w:val="20"/>
          <w:szCs w:val="20"/>
        </w:rPr>
        <w:t xml:space="preserve">Methods of Analysis by the U.S. Geological Survey National Water Quality Laboratory-Evaluation of Alkaline Persulfate Digestion as an Alternative to </w:t>
      </w:r>
      <w:proofErr w:type="spellStart"/>
      <w:r>
        <w:rPr>
          <w:rFonts w:ascii="Times New Roman" w:eastAsia="Calibri" w:hAnsi="Times New Roman"/>
          <w:sz w:val="20"/>
          <w:szCs w:val="20"/>
        </w:rPr>
        <w:t>Kjeldahl</w:t>
      </w:r>
      <w:proofErr w:type="spellEnd"/>
      <w:r>
        <w:rPr>
          <w:rFonts w:ascii="Times New Roman" w:eastAsia="Calibri" w:hAnsi="Times New Roman"/>
          <w:sz w:val="20"/>
          <w:szCs w:val="20"/>
        </w:rPr>
        <w:t xml:space="preserve"> Digestion for Determination of Total and Dissolved Nitrogen and Phosphorus in Water. 2003 Water-Resources Investigations Report 03-4174 http://nqwl.usgs.gov/pubs/WRIR/WRIRR-03-4174.pdf </w:t>
      </w:r>
    </w:p>
    <w:p w14:paraId="20E53550" w14:textId="77777777" w:rsidR="006B72E2" w:rsidRDefault="006B72E2" w:rsidP="006B72E2">
      <w:pPr>
        <w:widowControl/>
        <w:rPr>
          <w:rFonts w:ascii="Times New Roman" w:eastAsia="Calibri" w:hAnsi="Times New Roman"/>
          <w:sz w:val="20"/>
          <w:szCs w:val="20"/>
        </w:rPr>
      </w:pPr>
    </w:p>
    <w:p w14:paraId="75E6AEDE" w14:textId="28C970DD" w:rsidR="00983A6F" w:rsidRDefault="00983A6F" w:rsidP="006B72E2">
      <w:pPr>
        <w:widowControl/>
        <w:numPr>
          <w:ilvl w:val="0"/>
          <w:numId w:val="2"/>
        </w:numPr>
        <w:rPr>
          <w:rFonts w:ascii="Times New Roman" w:eastAsia="Calibri" w:hAnsi="Times New Roman"/>
          <w:sz w:val="20"/>
          <w:szCs w:val="20"/>
        </w:rPr>
      </w:pPr>
      <w:proofErr w:type="spellStart"/>
      <w:r>
        <w:rPr>
          <w:rFonts w:ascii="Times New Roman" w:eastAsia="Calibri" w:hAnsi="Times New Roman"/>
          <w:sz w:val="20"/>
          <w:szCs w:val="20"/>
        </w:rPr>
        <w:t>D’</w:t>
      </w:r>
      <w:r w:rsidR="000D6FAF">
        <w:rPr>
          <w:rFonts w:ascii="Times New Roman" w:eastAsia="Calibri" w:hAnsi="Times New Roman"/>
          <w:sz w:val="20"/>
          <w:szCs w:val="20"/>
        </w:rPr>
        <w:t>Elia</w:t>
      </w:r>
      <w:proofErr w:type="spellEnd"/>
      <w:r w:rsidR="000D6FAF">
        <w:rPr>
          <w:rFonts w:ascii="Times New Roman" w:eastAsia="Calibri" w:hAnsi="Times New Roman"/>
          <w:sz w:val="20"/>
          <w:szCs w:val="20"/>
        </w:rPr>
        <w:t xml:space="preserve">, C.F., </w:t>
      </w:r>
      <w:proofErr w:type="spellStart"/>
      <w:r w:rsidR="000D6FAF">
        <w:rPr>
          <w:rFonts w:ascii="Times New Roman" w:eastAsia="Calibri" w:hAnsi="Times New Roman"/>
          <w:sz w:val="20"/>
          <w:szCs w:val="20"/>
        </w:rPr>
        <w:t>Magnien</w:t>
      </w:r>
      <w:proofErr w:type="spellEnd"/>
      <w:r w:rsidR="000D6FAF">
        <w:rPr>
          <w:rFonts w:ascii="Times New Roman" w:eastAsia="Calibri" w:hAnsi="Times New Roman"/>
          <w:sz w:val="20"/>
          <w:szCs w:val="20"/>
        </w:rPr>
        <w:t xml:space="preserve">, R.E., Zimmermann, C.F., Vass, P.A., </w:t>
      </w:r>
      <w:proofErr w:type="spellStart"/>
      <w:r w:rsidR="000D6FAF">
        <w:rPr>
          <w:rFonts w:ascii="Times New Roman" w:eastAsia="Calibri" w:hAnsi="Times New Roman"/>
          <w:sz w:val="20"/>
          <w:szCs w:val="20"/>
        </w:rPr>
        <w:t>Kaumeyer</w:t>
      </w:r>
      <w:proofErr w:type="spellEnd"/>
      <w:r w:rsidR="000D6FAF">
        <w:rPr>
          <w:rFonts w:ascii="Times New Roman" w:eastAsia="Calibri" w:hAnsi="Times New Roman"/>
          <w:sz w:val="20"/>
          <w:szCs w:val="20"/>
        </w:rPr>
        <w:t>, N.L., Keefe, C.W., Shaw, D.V., Wood, K.V. 1987. Nitrogen and phosphorus determinations in estuarine waters: A comparison of methods used in Chesapeake Bay monitoring. University of Maryland Center for Environmental and Estuarine Studies, publication number UMCEES 87-19 CBL, p 26.</w:t>
      </w:r>
    </w:p>
    <w:p w14:paraId="3916B5D8" w14:textId="77777777" w:rsidR="006B72E2" w:rsidRDefault="006B72E2" w:rsidP="006B72E2">
      <w:pPr>
        <w:widowControl/>
        <w:rPr>
          <w:rFonts w:ascii="Times New Roman" w:eastAsia="Calibri" w:hAnsi="Times New Roman"/>
          <w:sz w:val="20"/>
          <w:szCs w:val="20"/>
        </w:rPr>
      </w:pPr>
    </w:p>
    <w:p w14:paraId="16FC976A" w14:textId="4603C33E" w:rsidR="00405076" w:rsidRPr="002C6573" w:rsidRDefault="00832C14" w:rsidP="006B72E2">
      <w:pPr>
        <w:widowControl/>
        <w:numPr>
          <w:ilvl w:val="0"/>
          <w:numId w:val="2"/>
        </w:numPr>
        <w:rPr>
          <w:rFonts w:ascii="Times New Roman" w:eastAsia="Calibri" w:hAnsi="Times New Roman"/>
          <w:sz w:val="20"/>
          <w:szCs w:val="20"/>
        </w:rPr>
      </w:pPr>
      <w:r>
        <w:rPr>
          <w:rFonts w:ascii="Times New Roman" w:eastAsia="Calibri" w:hAnsi="Times New Roman"/>
          <w:sz w:val="20"/>
          <w:szCs w:val="20"/>
        </w:rPr>
        <w:t xml:space="preserve">EPA 40 CFR, </w:t>
      </w:r>
      <w:r w:rsidR="00560D43">
        <w:rPr>
          <w:rFonts w:ascii="Times New Roman" w:eastAsia="Calibri" w:hAnsi="Times New Roman"/>
          <w:sz w:val="20"/>
          <w:szCs w:val="20"/>
        </w:rPr>
        <w:t>c</w:t>
      </w:r>
      <w:r>
        <w:rPr>
          <w:rFonts w:ascii="Times New Roman" w:eastAsia="Calibri" w:hAnsi="Times New Roman"/>
          <w:sz w:val="20"/>
          <w:szCs w:val="20"/>
        </w:rPr>
        <w:t>hapter 1, subchapter D, part 136</w:t>
      </w:r>
      <w:r w:rsidR="00560D43">
        <w:rPr>
          <w:rFonts w:ascii="Times New Roman" w:eastAsia="Calibri" w:hAnsi="Times New Roman"/>
          <w:sz w:val="20"/>
          <w:szCs w:val="20"/>
        </w:rPr>
        <w:t>.</w:t>
      </w:r>
    </w:p>
    <w:sectPr w:rsidR="00405076" w:rsidRPr="002C6573" w:rsidSect="003B7B0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FC533" w14:textId="77777777" w:rsidR="00A3698A" w:rsidRDefault="00A3698A">
      <w:r>
        <w:separator/>
      </w:r>
    </w:p>
  </w:endnote>
  <w:endnote w:type="continuationSeparator" w:id="0">
    <w:p w14:paraId="5266A684" w14:textId="77777777" w:rsidR="00A3698A" w:rsidRDefault="00A3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983DD" w14:textId="77777777" w:rsidR="00A3698A" w:rsidRDefault="00A3698A">
      <w:r>
        <w:separator/>
      </w:r>
    </w:p>
  </w:footnote>
  <w:footnote w:type="continuationSeparator" w:id="0">
    <w:p w14:paraId="583C8B54" w14:textId="77777777" w:rsidR="00A3698A" w:rsidRDefault="00A36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E3F10" w14:textId="77777777" w:rsidR="00B555DC" w:rsidRDefault="00B555DC" w:rsidP="00B555DC">
    <w:pPr>
      <w:pStyle w:val="Header"/>
      <w:jc w:val="right"/>
      <w:rPr>
        <w:rFonts w:ascii="Times New Roman" w:hAnsi="Times New Roman"/>
        <w:sz w:val="18"/>
      </w:rPr>
    </w:pPr>
    <w:r>
      <w:rPr>
        <w:rFonts w:ascii="Times New Roman" w:hAnsi="Times New Roman"/>
        <w:sz w:val="18"/>
      </w:rPr>
      <w:t>Chapter 6, Section D</w:t>
    </w:r>
  </w:p>
  <w:p w14:paraId="7DCCD426" w14:textId="1ED2788B" w:rsidR="00B555DC" w:rsidRDefault="00B555DC" w:rsidP="00B555DC">
    <w:pPr>
      <w:pStyle w:val="Header"/>
      <w:jc w:val="right"/>
      <w:rPr>
        <w:rFonts w:ascii="Times New Roman" w:hAnsi="Times New Roman"/>
        <w:sz w:val="18"/>
      </w:rPr>
    </w:pPr>
    <w:r>
      <w:rPr>
        <w:rFonts w:ascii="Times New Roman" w:hAnsi="Times New Roman"/>
        <w:sz w:val="18"/>
      </w:rPr>
      <w:t>Particulate Phosphorus</w:t>
    </w:r>
  </w:p>
  <w:p w14:paraId="410DBF81" w14:textId="0F6B672F" w:rsidR="00B555DC" w:rsidRPr="000456B5" w:rsidRDefault="00B555DC" w:rsidP="00B555DC">
    <w:pPr>
      <w:pStyle w:val="Header"/>
      <w:jc w:val="right"/>
      <w:rPr>
        <w:rFonts w:ascii="Times New Roman" w:hAnsi="Times New Roman"/>
        <w:sz w:val="18"/>
      </w:rPr>
    </w:pPr>
    <w:r>
      <w:rPr>
        <w:rFonts w:ascii="Times New Roman" w:hAnsi="Times New Roman"/>
        <w:sz w:val="18"/>
      </w:rPr>
      <w:t>December 2016</w:t>
    </w:r>
  </w:p>
  <w:p w14:paraId="0A222A14" w14:textId="77777777" w:rsidR="00B555DC" w:rsidRDefault="00B55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0C6D2"/>
    <w:multiLevelType w:val="hybridMultilevel"/>
    <w:tmpl w:val="4A5F11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A706FC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602C55"/>
    <w:multiLevelType w:val="hybridMultilevel"/>
    <w:tmpl w:val="CA3612F4"/>
    <w:name w:val="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D46FA"/>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D563A"/>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235C7"/>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90A09"/>
    <w:multiLevelType w:val="hybridMultilevel"/>
    <w:tmpl w:val="E87A1A32"/>
    <w:lvl w:ilvl="0" w:tplc="3F089CA8">
      <w:start w:val="1"/>
      <w:numFmt w:val="lowerRoman"/>
      <w:lvlText w:val="%1.)"/>
      <w:lvlJc w:val="right"/>
      <w:pPr>
        <w:ind w:left="2160" w:hanging="360"/>
      </w:pPr>
      <w:rPr>
        <w:rFonts w:hint="default"/>
      </w:rPr>
    </w:lvl>
    <w:lvl w:ilvl="1" w:tplc="E6665A60">
      <w:start w:val="1"/>
      <w:numFmt w:val="lowerRoman"/>
      <w:lvlText w:val="%2.)"/>
      <w:lvlJc w:val="right"/>
      <w:pPr>
        <w:ind w:left="1440" w:hanging="360"/>
      </w:pPr>
      <w:rPr>
        <w:rFonts w:hint="default"/>
      </w:rPr>
    </w:lvl>
    <w:lvl w:ilvl="2" w:tplc="8E8CF730">
      <w:start w:val="1"/>
      <w:numFmt w:val="decimal"/>
      <w:lvlText w:val="(%3)"/>
      <w:lvlJc w:val="left"/>
      <w:pPr>
        <w:ind w:left="2340" w:hanging="360"/>
      </w:pPr>
      <w:rPr>
        <w:rFonts w:hint="default"/>
      </w:rPr>
    </w:lvl>
    <w:lvl w:ilvl="3" w:tplc="45BA517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02501"/>
    <w:multiLevelType w:val="hybridMultilevel"/>
    <w:tmpl w:val="8864E748"/>
    <w:lvl w:ilvl="0" w:tplc="4C527F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627AD3"/>
    <w:multiLevelType w:val="hybridMultilevel"/>
    <w:tmpl w:val="6EA07ED8"/>
    <w:name w:val="222"/>
    <w:lvl w:ilvl="0" w:tplc="3F089CA8">
      <w:start w:val="1"/>
      <w:numFmt w:val="lowerRoman"/>
      <w:lvlText w:val="%1.)"/>
      <w:lvlJc w:val="righ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744CE"/>
    <w:multiLevelType w:val="hybridMultilevel"/>
    <w:tmpl w:val="70222664"/>
    <w:lvl w:ilvl="0" w:tplc="5C5EF272">
      <w:start w:val="1"/>
      <w:numFmt w:val="lowerRoman"/>
      <w:lvlText w:val="%1.)"/>
      <w:lvlJc w:val="right"/>
      <w:pPr>
        <w:ind w:left="90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367E4F01"/>
    <w:multiLevelType w:val="multilevel"/>
    <w:tmpl w:val="6EA07ED8"/>
    <w:lvl w:ilvl="0">
      <w:start w:val="1"/>
      <w:numFmt w:val="lowerRoman"/>
      <w:lvlText w:val="%1.)"/>
      <w:lvlJc w:val="righ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49611A"/>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6115D"/>
    <w:multiLevelType w:val="hybridMultilevel"/>
    <w:tmpl w:val="7ABC13CA"/>
    <w:lvl w:ilvl="0" w:tplc="17D6BAB0">
      <w:start w:val="1"/>
      <w:numFmt w:val="lowerRoman"/>
      <w:lvlText w:val="%1.)"/>
      <w:lvlJc w:val="right"/>
      <w:pPr>
        <w:ind w:left="2160" w:hanging="360"/>
      </w:pPr>
      <w:rPr>
        <w:rFonts w:hint="default"/>
      </w:rPr>
    </w:lvl>
    <w:lvl w:ilvl="1" w:tplc="CC9C050C">
      <w:start w:val="1"/>
      <w:numFmt w:val="lowerRoman"/>
      <w:lvlText w:val="%2.)"/>
      <w:lvlJc w:val="right"/>
      <w:pPr>
        <w:ind w:left="1440" w:hanging="360"/>
      </w:pPr>
      <w:rPr>
        <w:rFonts w:hint="default"/>
      </w:rPr>
    </w:lvl>
    <w:lvl w:ilvl="2" w:tplc="A500976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63F21"/>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C27B2"/>
    <w:multiLevelType w:val="hybridMultilevel"/>
    <w:tmpl w:val="30D01F00"/>
    <w:lvl w:ilvl="0" w:tplc="17D6BAB0">
      <w:start w:val="1"/>
      <w:numFmt w:val="lowerRoman"/>
      <w:lvlText w:val="%1.)"/>
      <w:lvlJc w:val="righ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A66AC"/>
    <w:multiLevelType w:val="multilevel"/>
    <w:tmpl w:val="1DC8CAB4"/>
    <w:name w:val="2"/>
    <w:lvl w:ilvl="0">
      <w:start w:val="1"/>
      <w:numFmt w:val="lowerRoman"/>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D5E3250"/>
    <w:multiLevelType w:val="hybridMultilevel"/>
    <w:tmpl w:val="8F621B88"/>
    <w:lvl w:ilvl="0" w:tplc="3F089CA8">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93CC2"/>
    <w:multiLevelType w:val="hybridMultilevel"/>
    <w:tmpl w:val="406E1548"/>
    <w:lvl w:ilvl="0" w:tplc="DF123952">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D0A09"/>
    <w:multiLevelType w:val="hybridMultilevel"/>
    <w:tmpl w:val="5A5A917C"/>
    <w:lvl w:ilvl="0" w:tplc="9474B8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1F4AB0"/>
    <w:multiLevelType w:val="hybridMultilevel"/>
    <w:tmpl w:val="CB0E7CF2"/>
    <w:lvl w:ilvl="0" w:tplc="45BCCA56">
      <w:start w:val="1"/>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B2F7B"/>
    <w:multiLevelType w:val="hybridMultilevel"/>
    <w:tmpl w:val="96583316"/>
    <w:lvl w:ilvl="0" w:tplc="59964314">
      <w:start w:val="1"/>
      <w:numFmt w:val="lowerRoman"/>
      <w:lvlText w:val="%1.)"/>
      <w:lvlJc w:val="righ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A5579"/>
    <w:multiLevelType w:val="multilevel"/>
    <w:tmpl w:val="30D01F00"/>
    <w:lvl w:ilvl="0">
      <w:start w:val="1"/>
      <w:numFmt w:val="lowerRoman"/>
      <w:lvlText w:val="%1.)"/>
      <w:lvlJc w:val="righ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9"/>
  </w:num>
  <w:num w:numId="3">
    <w:abstractNumId w:val="0"/>
  </w:num>
  <w:num w:numId="4">
    <w:abstractNumId w:val="7"/>
  </w:num>
  <w:num w:numId="5">
    <w:abstractNumId w:val="15"/>
  </w:num>
  <w:num w:numId="6">
    <w:abstractNumId w:val="2"/>
  </w:num>
  <w:num w:numId="7">
    <w:abstractNumId w:val="19"/>
  </w:num>
  <w:num w:numId="8">
    <w:abstractNumId w:val="1"/>
  </w:num>
  <w:num w:numId="9">
    <w:abstractNumId w:val="8"/>
  </w:num>
  <w:num w:numId="10">
    <w:abstractNumId w:val="10"/>
  </w:num>
  <w:num w:numId="11">
    <w:abstractNumId w:val="6"/>
  </w:num>
  <w:num w:numId="12">
    <w:abstractNumId w:val="14"/>
  </w:num>
  <w:num w:numId="13">
    <w:abstractNumId w:val="21"/>
  </w:num>
  <w:num w:numId="14">
    <w:abstractNumId w:val="12"/>
  </w:num>
  <w:num w:numId="15">
    <w:abstractNumId w:val="13"/>
  </w:num>
  <w:num w:numId="16">
    <w:abstractNumId w:val="3"/>
  </w:num>
  <w:num w:numId="17">
    <w:abstractNumId w:val="4"/>
  </w:num>
  <w:num w:numId="18">
    <w:abstractNumId w:val="11"/>
  </w:num>
  <w:num w:numId="19">
    <w:abstractNumId w:val="17"/>
  </w:num>
  <w:num w:numId="20">
    <w:abstractNumId w:val="16"/>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36"/>
    <w:rsid w:val="00004C19"/>
    <w:rsid w:val="00016EB0"/>
    <w:rsid w:val="00017B19"/>
    <w:rsid w:val="000230D4"/>
    <w:rsid w:val="000306A0"/>
    <w:rsid w:val="000734AD"/>
    <w:rsid w:val="000D6FAF"/>
    <w:rsid w:val="000F4D53"/>
    <w:rsid w:val="000F5BEC"/>
    <w:rsid w:val="001100DE"/>
    <w:rsid w:val="0011607B"/>
    <w:rsid w:val="0015420E"/>
    <w:rsid w:val="00163D63"/>
    <w:rsid w:val="00164CA9"/>
    <w:rsid w:val="00175CD2"/>
    <w:rsid w:val="00197DA1"/>
    <w:rsid w:val="001A2246"/>
    <w:rsid w:val="001E30C8"/>
    <w:rsid w:val="0023677F"/>
    <w:rsid w:val="00246CBF"/>
    <w:rsid w:val="002A53ED"/>
    <w:rsid w:val="002B2D97"/>
    <w:rsid w:val="002C6573"/>
    <w:rsid w:val="002D41F2"/>
    <w:rsid w:val="002D5D8B"/>
    <w:rsid w:val="002E7EFE"/>
    <w:rsid w:val="0030580E"/>
    <w:rsid w:val="003329E0"/>
    <w:rsid w:val="00336ECC"/>
    <w:rsid w:val="00341472"/>
    <w:rsid w:val="003A6679"/>
    <w:rsid w:val="003A6869"/>
    <w:rsid w:val="003B65D9"/>
    <w:rsid w:val="003B7B0D"/>
    <w:rsid w:val="003B7EA7"/>
    <w:rsid w:val="003E2169"/>
    <w:rsid w:val="00405076"/>
    <w:rsid w:val="00421D28"/>
    <w:rsid w:val="00433E18"/>
    <w:rsid w:val="0045654C"/>
    <w:rsid w:val="00461D1F"/>
    <w:rsid w:val="00467573"/>
    <w:rsid w:val="00477EC8"/>
    <w:rsid w:val="00480F8E"/>
    <w:rsid w:val="004B6C51"/>
    <w:rsid w:val="004D1424"/>
    <w:rsid w:val="004F33B6"/>
    <w:rsid w:val="00502349"/>
    <w:rsid w:val="00522EA0"/>
    <w:rsid w:val="00527535"/>
    <w:rsid w:val="00532974"/>
    <w:rsid w:val="00536370"/>
    <w:rsid w:val="00560D43"/>
    <w:rsid w:val="005651D2"/>
    <w:rsid w:val="00572B4E"/>
    <w:rsid w:val="005A5319"/>
    <w:rsid w:val="005D6184"/>
    <w:rsid w:val="005E5B0F"/>
    <w:rsid w:val="00632175"/>
    <w:rsid w:val="00633869"/>
    <w:rsid w:val="00677A7D"/>
    <w:rsid w:val="00680EFF"/>
    <w:rsid w:val="006B72E2"/>
    <w:rsid w:val="006E1CE5"/>
    <w:rsid w:val="006E7D68"/>
    <w:rsid w:val="006F13CE"/>
    <w:rsid w:val="006F4F52"/>
    <w:rsid w:val="00707137"/>
    <w:rsid w:val="0071066D"/>
    <w:rsid w:val="007143E6"/>
    <w:rsid w:val="007475C7"/>
    <w:rsid w:val="0075025A"/>
    <w:rsid w:val="0075095E"/>
    <w:rsid w:val="00753362"/>
    <w:rsid w:val="007652B8"/>
    <w:rsid w:val="00787FA7"/>
    <w:rsid w:val="00790C4F"/>
    <w:rsid w:val="007A0E4A"/>
    <w:rsid w:val="00801BA4"/>
    <w:rsid w:val="00832C14"/>
    <w:rsid w:val="00836969"/>
    <w:rsid w:val="00836EFB"/>
    <w:rsid w:val="00843273"/>
    <w:rsid w:val="00856C16"/>
    <w:rsid w:val="00877510"/>
    <w:rsid w:val="008A1FDE"/>
    <w:rsid w:val="008A7714"/>
    <w:rsid w:val="008A7E07"/>
    <w:rsid w:val="008B691E"/>
    <w:rsid w:val="008D6827"/>
    <w:rsid w:val="008F1AA1"/>
    <w:rsid w:val="009054ED"/>
    <w:rsid w:val="00936902"/>
    <w:rsid w:val="009524F4"/>
    <w:rsid w:val="00963804"/>
    <w:rsid w:val="00977FD9"/>
    <w:rsid w:val="00983A6F"/>
    <w:rsid w:val="00986CED"/>
    <w:rsid w:val="009A0EF1"/>
    <w:rsid w:val="009B1EEF"/>
    <w:rsid w:val="009B3199"/>
    <w:rsid w:val="009E7244"/>
    <w:rsid w:val="00A31452"/>
    <w:rsid w:val="00A3698A"/>
    <w:rsid w:val="00A41C79"/>
    <w:rsid w:val="00A443D5"/>
    <w:rsid w:val="00A47B00"/>
    <w:rsid w:val="00A73A3D"/>
    <w:rsid w:val="00A80B55"/>
    <w:rsid w:val="00A81C77"/>
    <w:rsid w:val="00A86357"/>
    <w:rsid w:val="00A92C98"/>
    <w:rsid w:val="00AA1DDE"/>
    <w:rsid w:val="00AB5565"/>
    <w:rsid w:val="00AE2B84"/>
    <w:rsid w:val="00AF5BE2"/>
    <w:rsid w:val="00B1215B"/>
    <w:rsid w:val="00B15EC5"/>
    <w:rsid w:val="00B2439A"/>
    <w:rsid w:val="00B525FC"/>
    <w:rsid w:val="00B555DC"/>
    <w:rsid w:val="00B9144A"/>
    <w:rsid w:val="00BA68D4"/>
    <w:rsid w:val="00BD0170"/>
    <w:rsid w:val="00BD7815"/>
    <w:rsid w:val="00BE7A08"/>
    <w:rsid w:val="00BF4DBA"/>
    <w:rsid w:val="00BF5D19"/>
    <w:rsid w:val="00C2500B"/>
    <w:rsid w:val="00C30C74"/>
    <w:rsid w:val="00C50179"/>
    <w:rsid w:val="00C53096"/>
    <w:rsid w:val="00C826F3"/>
    <w:rsid w:val="00C92B80"/>
    <w:rsid w:val="00C96489"/>
    <w:rsid w:val="00CA1E3E"/>
    <w:rsid w:val="00CA5B8A"/>
    <w:rsid w:val="00CF5FC3"/>
    <w:rsid w:val="00D20054"/>
    <w:rsid w:val="00D274EE"/>
    <w:rsid w:val="00D303AC"/>
    <w:rsid w:val="00D463BD"/>
    <w:rsid w:val="00D47A93"/>
    <w:rsid w:val="00D47EDC"/>
    <w:rsid w:val="00D503F9"/>
    <w:rsid w:val="00D55B1B"/>
    <w:rsid w:val="00D560F9"/>
    <w:rsid w:val="00D90B36"/>
    <w:rsid w:val="00D94645"/>
    <w:rsid w:val="00DA4782"/>
    <w:rsid w:val="00DE508C"/>
    <w:rsid w:val="00DF53F9"/>
    <w:rsid w:val="00E01C10"/>
    <w:rsid w:val="00E41C37"/>
    <w:rsid w:val="00E44AA6"/>
    <w:rsid w:val="00E52C1F"/>
    <w:rsid w:val="00E733A0"/>
    <w:rsid w:val="00E90B61"/>
    <w:rsid w:val="00EA639B"/>
    <w:rsid w:val="00EB0591"/>
    <w:rsid w:val="00EB1CCE"/>
    <w:rsid w:val="00EF771B"/>
    <w:rsid w:val="00F06914"/>
    <w:rsid w:val="00F2067D"/>
    <w:rsid w:val="00F225BD"/>
    <w:rsid w:val="00F46FCB"/>
    <w:rsid w:val="00F6476D"/>
    <w:rsid w:val="00F65186"/>
    <w:rsid w:val="00F72518"/>
    <w:rsid w:val="00F7399E"/>
    <w:rsid w:val="00F739BE"/>
    <w:rsid w:val="00F94D2C"/>
    <w:rsid w:val="00FC2A81"/>
    <w:rsid w:val="00FD4E47"/>
    <w:rsid w:val="00FE6CF1"/>
    <w:rsid w:val="00FF17D6"/>
    <w:rsid w:val="00FF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7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36"/>
    <w:pPr>
      <w:widowControl w:val="0"/>
      <w:autoSpaceDE w:val="0"/>
      <w:autoSpaceDN w:val="0"/>
      <w:adjustRightInd w:val="0"/>
    </w:pPr>
    <w:rPr>
      <w:rFonts w:ascii="Shruti" w:eastAsia="Times New Roman"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B36"/>
    <w:rPr>
      <w:rFonts w:ascii="Tahoma" w:hAnsi="Tahoma" w:cs="Tahoma"/>
      <w:sz w:val="16"/>
      <w:szCs w:val="16"/>
    </w:rPr>
  </w:style>
  <w:style w:type="character" w:customStyle="1" w:styleId="BalloonTextChar">
    <w:name w:val="Balloon Text Char"/>
    <w:link w:val="BalloonText"/>
    <w:uiPriority w:val="99"/>
    <w:semiHidden/>
    <w:rsid w:val="00D90B36"/>
    <w:rPr>
      <w:rFonts w:ascii="Tahoma" w:eastAsia="Times New Roman" w:hAnsi="Tahoma" w:cs="Tahoma"/>
      <w:sz w:val="16"/>
      <w:szCs w:val="16"/>
    </w:rPr>
  </w:style>
  <w:style w:type="paragraph" w:customStyle="1" w:styleId="Default">
    <w:name w:val="Default"/>
    <w:rsid w:val="008D682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095E"/>
    <w:pPr>
      <w:ind w:left="720"/>
      <w:contextualSpacing/>
    </w:pPr>
  </w:style>
  <w:style w:type="table" w:styleId="TableGrid">
    <w:name w:val="Table Grid"/>
    <w:basedOn w:val="TableNormal"/>
    <w:rsid w:val="00A47B00"/>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5DC"/>
    <w:pPr>
      <w:tabs>
        <w:tab w:val="center" w:pos="4680"/>
        <w:tab w:val="right" w:pos="9360"/>
      </w:tabs>
    </w:pPr>
  </w:style>
  <w:style w:type="character" w:customStyle="1" w:styleId="HeaderChar">
    <w:name w:val="Header Char"/>
    <w:basedOn w:val="DefaultParagraphFont"/>
    <w:link w:val="Header"/>
    <w:uiPriority w:val="99"/>
    <w:rsid w:val="00B555DC"/>
    <w:rPr>
      <w:rFonts w:ascii="Shruti" w:eastAsia="Times New Roman" w:hAnsi="Shruti"/>
      <w:sz w:val="24"/>
      <w:szCs w:val="24"/>
    </w:rPr>
  </w:style>
  <w:style w:type="paragraph" w:styleId="Footer">
    <w:name w:val="footer"/>
    <w:basedOn w:val="Normal"/>
    <w:link w:val="FooterChar"/>
    <w:uiPriority w:val="99"/>
    <w:unhideWhenUsed/>
    <w:rsid w:val="00B555DC"/>
    <w:pPr>
      <w:tabs>
        <w:tab w:val="center" w:pos="4680"/>
        <w:tab w:val="right" w:pos="9360"/>
      </w:tabs>
    </w:pPr>
  </w:style>
  <w:style w:type="character" w:customStyle="1" w:styleId="FooterChar">
    <w:name w:val="Footer Char"/>
    <w:basedOn w:val="DefaultParagraphFont"/>
    <w:link w:val="Footer"/>
    <w:uiPriority w:val="99"/>
    <w:rsid w:val="00B555DC"/>
    <w:rPr>
      <w:rFonts w:ascii="Shruti" w:eastAsia="Times New Roman" w:hAnsi="Shruti"/>
      <w:sz w:val="24"/>
      <w:szCs w:val="24"/>
    </w:rPr>
  </w:style>
  <w:style w:type="character" w:styleId="PlaceholderText">
    <w:name w:val="Placeholder Text"/>
    <w:basedOn w:val="DefaultParagraphFont"/>
    <w:uiPriority w:val="67"/>
    <w:rsid w:val="00FD4E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36"/>
    <w:pPr>
      <w:widowControl w:val="0"/>
      <w:autoSpaceDE w:val="0"/>
      <w:autoSpaceDN w:val="0"/>
      <w:adjustRightInd w:val="0"/>
    </w:pPr>
    <w:rPr>
      <w:rFonts w:ascii="Shruti" w:eastAsia="Times New Roman"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B36"/>
    <w:rPr>
      <w:rFonts w:ascii="Tahoma" w:hAnsi="Tahoma" w:cs="Tahoma"/>
      <w:sz w:val="16"/>
      <w:szCs w:val="16"/>
    </w:rPr>
  </w:style>
  <w:style w:type="character" w:customStyle="1" w:styleId="BalloonTextChar">
    <w:name w:val="Balloon Text Char"/>
    <w:link w:val="BalloonText"/>
    <w:uiPriority w:val="99"/>
    <w:semiHidden/>
    <w:rsid w:val="00D90B36"/>
    <w:rPr>
      <w:rFonts w:ascii="Tahoma" w:eastAsia="Times New Roman" w:hAnsi="Tahoma" w:cs="Tahoma"/>
      <w:sz w:val="16"/>
      <w:szCs w:val="16"/>
    </w:rPr>
  </w:style>
  <w:style w:type="paragraph" w:customStyle="1" w:styleId="Default">
    <w:name w:val="Default"/>
    <w:rsid w:val="008D682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095E"/>
    <w:pPr>
      <w:ind w:left="720"/>
      <w:contextualSpacing/>
    </w:pPr>
  </w:style>
  <w:style w:type="table" w:styleId="TableGrid">
    <w:name w:val="Table Grid"/>
    <w:basedOn w:val="TableNormal"/>
    <w:rsid w:val="00A47B00"/>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5DC"/>
    <w:pPr>
      <w:tabs>
        <w:tab w:val="center" w:pos="4680"/>
        <w:tab w:val="right" w:pos="9360"/>
      </w:tabs>
    </w:pPr>
  </w:style>
  <w:style w:type="character" w:customStyle="1" w:styleId="HeaderChar">
    <w:name w:val="Header Char"/>
    <w:basedOn w:val="DefaultParagraphFont"/>
    <w:link w:val="Header"/>
    <w:uiPriority w:val="99"/>
    <w:rsid w:val="00B555DC"/>
    <w:rPr>
      <w:rFonts w:ascii="Shruti" w:eastAsia="Times New Roman" w:hAnsi="Shruti"/>
      <w:sz w:val="24"/>
      <w:szCs w:val="24"/>
    </w:rPr>
  </w:style>
  <w:style w:type="paragraph" w:styleId="Footer">
    <w:name w:val="footer"/>
    <w:basedOn w:val="Normal"/>
    <w:link w:val="FooterChar"/>
    <w:uiPriority w:val="99"/>
    <w:unhideWhenUsed/>
    <w:rsid w:val="00B555DC"/>
    <w:pPr>
      <w:tabs>
        <w:tab w:val="center" w:pos="4680"/>
        <w:tab w:val="right" w:pos="9360"/>
      </w:tabs>
    </w:pPr>
  </w:style>
  <w:style w:type="character" w:customStyle="1" w:styleId="FooterChar">
    <w:name w:val="Footer Char"/>
    <w:basedOn w:val="DefaultParagraphFont"/>
    <w:link w:val="Footer"/>
    <w:uiPriority w:val="99"/>
    <w:rsid w:val="00B555DC"/>
    <w:rPr>
      <w:rFonts w:ascii="Shruti" w:eastAsia="Times New Roman" w:hAnsi="Shruti"/>
      <w:sz w:val="24"/>
      <w:szCs w:val="24"/>
    </w:rPr>
  </w:style>
  <w:style w:type="character" w:styleId="PlaceholderText">
    <w:name w:val="Placeholder Text"/>
    <w:basedOn w:val="DefaultParagraphFont"/>
    <w:uiPriority w:val="67"/>
    <w:rsid w:val="00FD4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sdoughten</dc:creator>
  <cp:keywords/>
  <cp:lastModifiedBy>Ghosh, Durga</cp:lastModifiedBy>
  <cp:revision>62</cp:revision>
  <dcterms:created xsi:type="dcterms:W3CDTF">2016-12-13T19:07:00Z</dcterms:created>
  <dcterms:modified xsi:type="dcterms:W3CDTF">2016-12-29T20:04:00Z</dcterms:modified>
</cp:coreProperties>
</file>