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4325C" w14:textId="358CDA4D" w:rsidR="0063498C" w:rsidRDefault="0063498C"/>
    <w:p w14:paraId="779F7E82" w14:textId="77777777" w:rsidR="0063498C" w:rsidRDefault="0063498C"/>
    <w:p w14:paraId="2E8A5A73" w14:textId="633A61E0" w:rsidR="002512F4" w:rsidRDefault="00BE671D" w:rsidP="002512F4">
      <w:pPr>
        <w:spacing w:after="0" w:line="240" w:lineRule="auto"/>
        <w:rPr>
          <w:bCs/>
          <w:sz w:val="28"/>
          <w:szCs w:val="28"/>
        </w:rPr>
      </w:pPr>
      <w:r>
        <w:rPr>
          <w:bCs/>
          <w:sz w:val="28"/>
          <w:szCs w:val="28"/>
        </w:rPr>
        <w:t>Proposed</w:t>
      </w:r>
      <w:r w:rsidR="002512F4" w:rsidRPr="002512F4">
        <w:rPr>
          <w:bCs/>
          <w:sz w:val="28"/>
          <w:szCs w:val="28"/>
        </w:rPr>
        <w:t xml:space="preserve"> Practice Life and Credit Duration for Forestry BMPs</w:t>
      </w:r>
    </w:p>
    <w:p w14:paraId="6F69CED9" w14:textId="0CBCA933" w:rsidR="00D62BC6" w:rsidRPr="002512F4" w:rsidRDefault="002512F4" w:rsidP="002512F4">
      <w:pPr>
        <w:spacing w:after="0" w:line="240" w:lineRule="auto"/>
        <w:rPr>
          <w:rFonts w:cstheme="minorHAnsi"/>
          <w:color w:val="000000"/>
          <w:sz w:val="28"/>
          <w:szCs w:val="28"/>
        </w:rPr>
      </w:pPr>
      <w:r w:rsidRPr="002512F4">
        <w:rPr>
          <w:bCs/>
          <w:sz w:val="28"/>
          <w:szCs w:val="28"/>
        </w:rPr>
        <w:t>in the Chesapeake Bay Model</w:t>
      </w:r>
    </w:p>
    <w:p w14:paraId="4A4831BB" w14:textId="77777777" w:rsidR="002512F4" w:rsidRDefault="002512F4" w:rsidP="00D62BC6">
      <w:pPr>
        <w:spacing w:after="0" w:line="240" w:lineRule="auto"/>
        <w:rPr>
          <w:rFonts w:cstheme="minorHAnsi"/>
          <w:color w:val="000000"/>
        </w:rPr>
      </w:pPr>
    </w:p>
    <w:p w14:paraId="392A1096" w14:textId="77777777" w:rsidR="006E43EE" w:rsidRDefault="006E43EE" w:rsidP="00D62BC6">
      <w:pPr>
        <w:spacing w:after="0" w:line="240" w:lineRule="auto"/>
        <w:rPr>
          <w:rFonts w:cstheme="minorHAnsi"/>
          <w:color w:val="000000"/>
        </w:rPr>
      </w:pPr>
    </w:p>
    <w:p w14:paraId="4DE35592" w14:textId="2FC9BBCF" w:rsidR="002F5580" w:rsidRDefault="006E43EE" w:rsidP="00D62BC6">
      <w:pPr>
        <w:spacing w:after="0" w:line="240" w:lineRule="auto"/>
        <w:rPr>
          <w:rFonts w:cstheme="minorHAnsi"/>
          <w:color w:val="000000"/>
        </w:rPr>
      </w:pPr>
      <w:r>
        <w:rPr>
          <w:rFonts w:cstheme="minorHAnsi"/>
          <w:color w:val="000000"/>
        </w:rPr>
        <w:t xml:space="preserve">At the September Verification Ad Hoc Team meeting, the Forestry Workgroup agreed to take a new look at Practice Life and Credit Duration </w:t>
      </w:r>
      <w:r w:rsidR="002F5580">
        <w:rPr>
          <w:rFonts w:cstheme="minorHAnsi"/>
          <w:color w:val="000000"/>
        </w:rPr>
        <w:t xml:space="preserve">that is used in CAST.  </w:t>
      </w:r>
      <w:r w:rsidR="00BE671D">
        <w:rPr>
          <w:rFonts w:cstheme="minorHAnsi"/>
          <w:color w:val="000000"/>
        </w:rPr>
        <w:t>This was the subject of a presentation at the October FWG meeting where feedback led to this proposal.</w:t>
      </w:r>
    </w:p>
    <w:p w14:paraId="7FF2E985" w14:textId="24F58296" w:rsidR="002F5580" w:rsidRDefault="002F5580" w:rsidP="00D62BC6">
      <w:pPr>
        <w:spacing w:after="0" w:line="240" w:lineRule="auto"/>
        <w:rPr>
          <w:rFonts w:cstheme="minorHAnsi"/>
          <w:color w:val="000000"/>
        </w:rPr>
      </w:pPr>
    </w:p>
    <w:p w14:paraId="799F844A" w14:textId="583DDE73" w:rsidR="002F5580" w:rsidRPr="002F5580" w:rsidRDefault="002F5580" w:rsidP="00D62BC6">
      <w:pPr>
        <w:spacing w:after="0" w:line="240" w:lineRule="auto"/>
        <w:rPr>
          <w:rFonts w:cstheme="minorHAnsi"/>
          <w:color w:val="000000"/>
          <w:u w:val="single"/>
        </w:rPr>
      </w:pPr>
      <w:r w:rsidRPr="002F5580">
        <w:rPr>
          <w:rFonts w:cstheme="minorHAnsi"/>
          <w:color w:val="000000"/>
          <w:u w:val="single"/>
        </w:rPr>
        <w:t>Definitions</w:t>
      </w:r>
    </w:p>
    <w:p w14:paraId="0455E651" w14:textId="77777777" w:rsidR="002F5580" w:rsidRDefault="002F5580" w:rsidP="002F5580">
      <w:pPr>
        <w:spacing w:after="0" w:line="240" w:lineRule="auto"/>
        <w:ind w:left="1440" w:hanging="1440"/>
        <w:rPr>
          <w:bCs/>
        </w:rPr>
      </w:pPr>
      <w:r w:rsidRPr="00E12144">
        <w:rPr>
          <w:b/>
          <w:bCs/>
        </w:rPr>
        <w:t>Practice Life--</w:t>
      </w:r>
      <w:r w:rsidRPr="00E12144">
        <w:rPr>
          <w:b/>
          <w:bCs/>
        </w:rPr>
        <w:tab/>
      </w:r>
      <w:r w:rsidRPr="00E12144">
        <w:rPr>
          <w:bCs/>
        </w:rPr>
        <w:t>The length of time a practice is expected to persist</w:t>
      </w:r>
      <w:r>
        <w:rPr>
          <w:bCs/>
        </w:rPr>
        <w:t>.  This is primarily used to analyze annual cost-benefit.  The longer the practice life, the lower the cost of establishment/year as the cost is more spread out.</w:t>
      </w:r>
    </w:p>
    <w:p w14:paraId="6E71535E" w14:textId="20C520DE" w:rsidR="002F5580" w:rsidRPr="00E12144" w:rsidRDefault="002F5580" w:rsidP="002F5580">
      <w:pPr>
        <w:spacing w:after="0" w:line="240" w:lineRule="auto"/>
        <w:ind w:left="1440" w:hanging="1440"/>
        <w:rPr>
          <w:bCs/>
        </w:rPr>
      </w:pPr>
      <w:r w:rsidRPr="00E12144">
        <w:rPr>
          <w:b/>
        </w:rPr>
        <w:t xml:space="preserve">Credit </w:t>
      </w:r>
      <w:r>
        <w:rPr>
          <w:b/>
        </w:rPr>
        <w:t>Duration</w:t>
      </w:r>
      <w:r>
        <w:rPr>
          <w:bCs/>
        </w:rPr>
        <w:t xml:space="preserve">- </w:t>
      </w:r>
      <w:r w:rsidRPr="00E12144">
        <w:rPr>
          <w:bCs/>
        </w:rPr>
        <w:t xml:space="preserve">The length of time a practice can be credited in the model </w:t>
      </w:r>
      <w:r>
        <w:rPr>
          <w:bCs/>
        </w:rPr>
        <w:t>before it needs to be</w:t>
      </w:r>
      <w:r w:rsidRPr="00E12144">
        <w:rPr>
          <w:bCs/>
        </w:rPr>
        <w:t xml:space="preserve"> verified.</w:t>
      </w:r>
      <w:r>
        <w:rPr>
          <w:bCs/>
        </w:rPr>
        <w:t xml:space="preserve">  This is important for planning and executing Verification.</w:t>
      </w:r>
    </w:p>
    <w:p w14:paraId="0C9821DB" w14:textId="3D2B7B48" w:rsidR="002F5580" w:rsidRDefault="002F5580" w:rsidP="002F5580">
      <w:pPr>
        <w:spacing w:after="0" w:line="240" w:lineRule="auto"/>
        <w:ind w:left="1440" w:hanging="1440"/>
        <w:rPr>
          <w:bCs/>
        </w:rPr>
      </w:pPr>
      <w:r w:rsidRPr="00E12144">
        <w:rPr>
          <w:b/>
        </w:rPr>
        <w:t>Back Out</w:t>
      </w:r>
      <w:r>
        <w:rPr>
          <w:bCs/>
        </w:rPr>
        <w:t>--</w:t>
      </w:r>
      <w:r>
        <w:rPr>
          <w:bCs/>
        </w:rPr>
        <w:tab/>
        <w:t xml:space="preserve"> </w:t>
      </w:r>
      <w:r>
        <w:rPr>
          <w:rFonts w:cstheme="minorHAnsi"/>
          <w:color w:val="000000"/>
        </w:rPr>
        <w:t xml:space="preserve">A procedure done by the modelers when, over time, there are not enough acres of land to hold all the practices that are claimed over time.  Back out” is TBD at this time.  </w:t>
      </w:r>
    </w:p>
    <w:p w14:paraId="588BC01C" w14:textId="77777777" w:rsidR="002F5580" w:rsidRDefault="002F5580" w:rsidP="00D62BC6">
      <w:pPr>
        <w:spacing w:after="0" w:line="240" w:lineRule="auto"/>
        <w:rPr>
          <w:rFonts w:cstheme="minorHAnsi"/>
          <w:color w:val="000000"/>
        </w:rPr>
      </w:pPr>
    </w:p>
    <w:p w14:paraId="05BB2305" w14:textId="77777777" w:rsidR="002F5580" w:rsidRDefault="002F5580" w:rsidP="00D62BC6">
      <w:pPr>
        <w:spacing w:after="0" w:line="240" w:lineRule="auto"/>
        <w:rPr>
          <w:rFonts w:cstheme="minorHAnsi"/>
          <w:color w:val="000000"/>
        </w:rPr>
      </w:pPr>
    </w:p>
    <w:p w14:paraId="2488B807" w14:textId="1EEF3276" w:rsidR="00BE671D" w:rsidRPr="00BE671D" w:rsidRDefault="00932DA7" w:rsidP="00D62BC6">
      <w:pPr>
        <w:spacing w:after="0" w:line="240" w:lineRule="auto"/>
        <w:rPr>
          <w:rFonts w:cstheme="minorHAnsi"/>
          <w:color w:val="000000"/>
          <w:u w:val="single"/>
        </w:rPr>
      </w:pPr>
      <w:r>
        <w:rPr>
          <w:rFonts w:cstheme="minorHAnsi"/>
          <w:color w:val="000000"/>
          <w:u w:val="single"/>
        </w:rPr>
        <w:t xml:space="preserve">Practice Life </w:t>
      </w:r>
      <w:r w:rsidR="00BE671D" w:rsidRPr="00BE671D">
        <w:rPr>
          <w:rFonts w:cstheme="minorHAnsi"/>
          <w:color w:val="000000"/>
          <w:u w:val="single"/>
        </w:rPr>
        <w:t>Background</w:t>
      </w:r>
    </w:p>
    <w:p w14:paraId="19CA815D" w14:textId="77777777" w:rsidR="00BE671D" w:rsidRDefault="00BE671D" w:rsidP="00D62BC6">
      <w:pPr>
        <w:spacing w:after="0" w:line="240" w:lineRule="auto"/>
        <w:rPr>
          <w:rFonts w:cstheme="minorHAnsi"/>
          <w:color w:val="000000"/>
        </w:rPr>
      </w:pPr>
    </w:p>
    <w:p w14:paraId="1690701D" w14:textId="7A689935" w:rsidR="006E43EE" w:rsidRDefault="006E43EE" w:rsidP="00D62BC6">
      <w:pPr>
        <w:spacing w:after="0" w:line="240" w:lineRule="auto"/>
        <w:rPr>
          <w:rFonts w:cstheme="minorHAnsi"/>
          <w:color w:val="000000"/>
        </w:rPr>
      </w:pPr>
      <w:r>
        <w:rPr>
          <w:rFonts w:cstheme="minorHAnsi"/>
          <w:color w:val="000000"/>
        </w:rPr>
        <w:t>Once established, forests can grow indefinitely</w:t>
      </w:r>
      <w:r w:rsidR="002F5580">
        <w:rPr>
          <w:rFonts w:cstheme="minorHAnsi"/>
          <w:color w:val="000000"/>
        </w:rPr>
        <w:t xml:space="preserve"> with little maintenance-- even in the event of a natural disaster as they are the natural land cover for this region.  </w:t>
      </w:r>
      <w:r>
        <w:rPr>
          <w:rFonts w:cstheme="minorHAnsi"/>
          <w:color w:val="000000"/>
        </w:rPr>
        <w:t xml:space="preserve">BMPs that are intended as “forest plantings” are ag and urban riparian buffers and urban forest plantings.  These are distinguished from </w:t>
      </w:r>
      <w:r w:rsidR="00BE671D">
        <w:rPr>
          <w:rFonts w:cstheme="minorHAnsi"/>
          <w:color w:val="000000"/>
        </w:rPr>
        <w:t>the “t</w:t>
      </w:r>
      <w:r>
        <w:rPr>
          <w:rFonts w:cstheme="minorHAnsi"/>
          <w:color w:val="000000"/>
        </w:rPr>
        <w:t>ree planting</w:t>
      </w:r>
      <w:r w:rsidR="00BE671D">
        <w:rPr>
          <w:rFonts w:cstheme="minorHAnsi"/>
          <w:color w:val="000000"/>
        </w:rPr>
        <w:t>”</w:t>
      </w:r>
      <w:r>
        <w:rPr>
          <w:rFonts w:cstheme="minorHAnsi"/>
          <w:color w:val="000000"/>
        </w:rPr>
        <w:t xml:space="preserve"> practices </w:t>
      </w:r>
      <w:r w:rsidR="00BE671D">
        <w:rPr>
          <w:rFonts w:cstheme="minorHAnsi"/>
          <w:color w:val="000000"/>
        </w:rPr>
        <w:t xml:space="preserve">(ag and urban tree planting) </w:t>
      </w:r>
      <w:r>
        <w:rPr>
          <w:rFonts w:cstheme="minorHAnsi"/>
          <w:color w:val="000000"/>
        </w:rPr>
        <w:t xml:space="preserve">as they have a higher standard of implementation, maintenance, and regeneration.  </w:t>
      </w:r>
      <w:r w:rsidR="002F5580">
        <w:rPr>
          <w:rFonts w:cstheme="minorHAnsi"/>
          <w:color w:val="000000"/>
        </w:rPr>
        <w:t>Natural regeneration can be part of forest plantings per Verification protocol.</w:t>
      </w:r>
    </w:p>
    <w:p w14:paraId="6260ADC9" w14:textId="08D1910C" w:rsidR="006E43EE" w:rsidRDefault="006E43EE" w:rsidP="00D62BC6">
      <w:pPr>
        <w:spacing w:after="0" w:line="240" w:lineRule="auto"/>
        <w:rPr>
          <w:rFonts w:cstheme="minorHAnsi"/>
          <w:color w:val="000000"/>
        </w:rPr>
      </w:pPr>
    </w:p>
    <w:p w14:paraId="6AB63F0A" w14:textId="596FA392" w:rsidR="00BE671D" w:rsidRDefault="00BE671D" w:rsidP="00D62BC6">
      <w:pPr>
        <w:spacing w:after="0" w:line="240" w:lineRule="auto"/>
        <w:rPr>
          <w:rFonts w:cstheme="minorHAnsi"/>
          <w:color w:val="000000"/>
        </w:rPr>
      </w:pPr>
      <w:r>
        <w:rPr>
          <w:rFonts w:cstheme="minorHAnsi"/>
          <w:color w:val="000000"/>
        </w:rPr>
        <w:t xml:space="preserve">Tree planting survival primarily depends on site characteristics, quality of planting stock, species selected for planting, weather, and a landowner’s willingness to keep it at that site.  Most tree planting in occurs in lawns and community spaces; less often along streets.  Agricultural tree planting is distinguished from urban tree planting by occurring in lawns or fields outside developed areas.  Trees may be planted as individuals or </w:t>
      </w:r>
      <w:r w:rsidR="00932DA7">
        <w:rPr>
          <w:rFonts w:cstheme="minorHAnsi"/>
          <w:color w:val="000000"/>
        </w:rPr>
        <w:t>in a</w:t>
      </w:r>
      <w:r>
        <w:rPr>
          <w:rFonts w:cstheme="minorHAnsi"/>
          <w:color w:val="000000"/>
        </w:rPr>
        <w:t xml:space="preserve"> </w:t>
      </w:r>
      <w:r w:rsidR="00932DA7">
        <w:rPr>
          <w:rFonts w:cstheme="minorHAnsi"/>
          <w:color w:val="000000"/>
        </w:rPr>
        <w:t>cluster</w:t>
      </w:r>
      <w:r>
        <w:rPr>
          <w:rFonts w:cstheme="minorHAnsi"/>
          <w:color w:val="000000"/>
        </w:rPr>
        <w:t xml:space="preserve">.  </w:t>
      </w:r>
    </w:p>
    <w:p w14:paraId="2AE2F58D" w14:textId="5FF2F012" w:rsidR="00932DA7" w:rsidRDefault="00932DA7" w:rsidP="00D62BC6">
      <w:pPr>
        <w:spacing w:after="0" w:line="240" w:lineRule="auto"/>
        <w:rPr>
          <w:rFonts w:cstheme="minorHAnsi"/>
          <w:color w:val="000000"/>
        </w:rPr>
      </w:pPr>
    </w:p>
    <w:p w14:paraId="05F0D82E" w14:textId="46895AAE" w:rsidR="00932DA7" w:rsidRDefault="00932DA7" w:rsidP="00D62BC6">
      <w:pPr>
        <w:spacing w:after="0" w:line="240" w:lineRule="auto"/>
        <w:rPr>
          <w:rFonts w:cstheme="minorHAnsi"/>
          <w:color w:val="000000"/>
        </w:rPr>
      </w:pPr>
      <w:r>
        <w:rPr>
          <w:rFonts w:cstheme="minorHAnsi"/>
          <w:color w:val="000000"/>
        </w:rPr>
        <w:t xml:space="preserve">These practices occur in all manner of sites.  As information on good planting conditions is shared and heeded, the practice life is likely to be extended since site condition is likely the most central to practice survival.  </w:t>
      </w:r>
    </w:p>
    <w:p w14:paraId="1E68AD5D" w14:textId="30CF8EB2" w:rsidR="00932DA7" w:rsidRDefault="00932DA7" w:rsidP="00D62BC6">
      <w:pPr>
        <w:spacing w:after="0" w:line="240" w:lineRule="auto"/>
        <w:rPr>
          <w:rFonts w:cstheme="minorHAnsi"/>
          <w:color w:val="000000"/>
        </w:rPr>
      </w:pPr>
    </w:p>
    <w:p w14:paraId="25A20833" w14:textId="4EBFC962" w:rsidR="00932DA7" w:rsidRPr="00AE5E2C" w:rsidRDefault="00932DA7" w:rsidP="00D62BC6">
      <w:pPr>
        <w:spacing w:after="0" w:line="240" w:lineRule="auto"/>
        <w:rPr>
          <w:rFonts w:cstheme="minorHAnsi"/>
          <w:color w:val="000000"/>
          <w:u w:val="single"/>
        </w:rPr>
      </w:pPr>
      <w:r w:rsidRPr="00AE5E2C">
        <w:rPr>
          <w:rFonts w:cstheme="minorHAnsi"/>
          <w:color w:val="000000"/>
          <w:u w:val="single"/>
        </w:rPr>
        <w:t>Credit Duration Background</w:t>
      </w:r>
    </w:p>
    <w:p w14:paraId="2E9D9111" w14:textId="7930C4F7" w:rsidR="00932DA7" w:rsidRDefault="00932DA7" w:rsidP="00D62BC6">
      <w:pPr>
        <w:spacing w:after="0" w:line="240" w:lineRule="auto"/>
        <w:rPr>
          <w:rFonts w:cstheme="minorHAnsi"/>
          <w:color w:val="000000"/>
        </w:rPr>
      </w:pPr>
      <w:r>
        <w:rPr>
          <w:rFonts w:cstheme="minorHAnsi"/>
          <w:color w:val="000000"/>
        </w:rPr>
        <w:t xml:space="preserve">Credit duration is simplified for forest establishment practices </w:t>
      </w:r>
      <w:r w:rsidR="00AE5E2C">
        <w:rPr>
          <w:rFonts w:cstheme="minorHAnsi"/>
          <w:color w:val="000000"/>
        </w:rPr>
        <w:t>because</w:t>
      </w:r>
      <w:r>
        <w:rPr>
          <w:rFonts w:cstheme="minorHAnsi"/>
          <w:color w:val="000000"/>
        </w:rPr>
        <w:t xml:space="preserve"> after 10 years, with normal growth,</w:t>
      </w:r>
      <w:r w:rsidR="00AE5E2C">
        <w:rPr>
          <w:rFonts w:cstheme="minorHAnsi"/>
          <w:color w:val="000000"/>
        </w:rPr>
        <w:t xml:space="preserve"> newly established</w:t>
      </w:r>
      <w:r>
        <w:rPr>
          <w:rFonts w:cstheme="minorHAnsi"/>
          <w:color w:val="000000"/>
        </w:rPr>
        <w:t xml:space="preserve"> trees and forests can be mapped with high-resolution imagery. </w:t>
      </w:r>
      <w:r w:rsidR="00AE5E2C">
        <w:rPr>
          <w:rFonts w:cstheme="minorHAnsi"/>
          <w:color w:val="000000"/>
        </w:rPr>
        <w:t xml:space="preserve"> The ability to map different aged plantings using the high-resolution for the Bay will be tested in Fall 2020.</w:t>
      </w:r>
      <w:r>
        <w:rPr>
          <w:rFonts w:cstheme="minorHAnsi"/>
          <w:color w:val="000000"/>
        </w:rPr>
        <w:t xml:space="preserve"> To distinguish </w:t>
      </w:r>
      <w:r w:rsidR="00AE5E2C">
        <w:rPr>
          <w:rFonts w:cstheme="minorHAnsi"/>
          <w:color w:val="000000"/>
        </w:rPr>
        <w:t xml:space="preserve">and map </w:t>
      </w:r>
      <w:r>
        <w:rPr>
          <w:rFonts w:cstheme="minorHAnsi"/>
          <w:color w:val="000000"/>
        </w:rPr>
        <w:t>forests from t</w:t>
      </w:r>
      <w:r w:rsidR="00AE5E2C">
        <w:rPr>
          <w:rFonts w:cstheme="minorHAnsi"/>
          <w:color w:val="000000"/>
        </w:rPr>
        <w:t xml:space="preserve">rees (or tree canopy) the Land Use Model applies certain decision rules that are agreed upon by the partnership.  </w:t>
      </w:r>
    </w:p>
    <w:p w14:paraId="5F0129D8" w14:textId="4AAF35E2" w:rsidR="00AE5E2C" w:rsidRDefault="00AE5E2C" w:rsidP="00D62BC6">
      <w:pPr>
        <w:spacing w:after="0" w:line="240" w:lineRule="auto"/>
        <w:rPr>
          <w:rFonts w:cstheme="minorHAnsi"/>
          <w:color w:val="000000"/>
        </w:rPr>
      </w:pPr>
    </w:p>
    <w:p w14:paraId="3EB306F4" w14:textId="22BB8D63" w:rsidR="00AE5E2C" w:rsidRDefault="00AE5E2C" w:rsidP="00D62BC6">
      <w:pPr>
        <w:spacing w:after="0" w:line="240" w:lineRule="auto"/>
        <w:rPr>
          <w:rFonts w:cstheme="minorHAnsi"/>
          <w:color w:val="000000"/>
        </w:rPr>
      </w:pPr>
      <w:r>
        <w:rPr>
          <w:rFonts w:cstheme="minorHAnsi"/>
          <w:color w:val="000000"/>
        </w:rPr>
        <w:lastRenderedPageBreak/>
        <w:t xml:space="preserve">Each new delivery of high-resolution data will come with a reckoning for partners about trees and forests that have been lost, </w:t>
      </w:r>
      <w:proofErr w:type="gramStart"/>
      <w:r>
        <w:rPr>
          <w:rFonts w:cstheme="minorHAnsi"/>
          <w:color w:val="000000"/>
        </w:rPr>
        <w:t>and also</w:t>
      </w:r>
      <w:proofErr w:type="gramEnd"/>
      <w:r>
        <w:rPr>
          <w:rFonts w:cstheme="minorHAnsi"/>
          <w:color w:val="000000"/>
        </w:rPr>
        <w:t xml:space="preserve"> those that have been gained but not credited.  </w:t>
      </w:r>
      <w:r w:rsidR="009D2925">
        <w:rPr>
          <w:rFonts w:cstheme="minorHAnsi"/>
          <w:color w:val="000000"/>
        </w:rPr>
        <w:t>Tree/forest loss</w:t>
      </w:r>
      <w:r>
        <w:rPr>
          <w:rFonts w:cstheme="minorHAnsi"/>
          <w:color w:val="000000"/>
        </w:rPr>
        <w:t xml:space="preserve"> is expected to have more of an impact </w:t>
      </w:r>
      <w:r w:rsidR="009D2925">
        <w:rPr>
          <w:rFonts w:cstheme="minorHAnsi"/>
          <w:color w:val="000000"/>
        </w:rPr>
        <w:t xml:space="preserve">on the Land Use model </w:t>
      </w:r>
      <w:r>
        <w:rPr>
          <w:rFonts w:cstheme="minorHAnsi"/>
          <w:color w:val="000000"/>
        </w:rPr>
        <w:t xml:space="preserve">because </w:t>
      </w:r>
      <w:r w:rsidR="00EF7E94">
        <w:rPr>
          <w:rFonts w:cstheme="minorHAnsi"/>
          <w:color w:val="000000"/>
        </w:rPr>
        <w:t>it is not part of annual reporting</w:t>
      </w:r>
      <w:r>
        <w:rPr>
          <w:rFonts w:cstheme="minorHAnsi"/>
          <w:color w:val="000000"/>
        </w:rPr>
        <w:t xml:space="preserve">.  </w:t>
      </w:r>
      <w:r w:rsidR="00EF7E94">
        <w:rPr>
          <w:rFonts w:cstheme="minorHAnsi"/>
          <w:color w:val="000000"/>
        </w:rPr>
        <w:t xml:space="preserve">Tracking and reporting tree/forest planting efforts and initiatives are important for those doing the work on the ground.  </w:t>
      </w:r>
      <w:r>
        <w:rPr>
          <w:rFonts w:cstheme="minorHAnsi"/>
          <w:color w:val="000000"/>
        </w:rPr>
        <w:t xml:space="preserve">The first complete change analysis using high-resolution imagery will be available by June 2021.  With new imagery slated to happen every 5 years, the next change analysis </w:t>
      </w:r>
      <w:r w:rsidR="009D2925">
        <w:rPr>
          <w:rFonts w:cstheme="minorHAnsi"/>
          <w:color w:val="000000"/>
        </w:rPr>
        <w:t>would be available in 2026.</w:t>
      </w:r>
    </w:p>
    <w:p w14:paraId="0FCC9A3F" w14:textId="37462221" w:rsidR="00AE5E2C" w:rsidRDefault="00AE5E2C" w:rsidP="00D62BC6">
      <w:pPr>
        <w:spacing w:after="0" w:line="240" w:lineRule="auto"/>
        <w:rPr>
          <w:rFonts w:cstheme="minorHAnsi"/>
          <w:color w:val="000000"/>
        </w:rPr>
      </w:pPr>
    </w:p>
    <w:p w14:paraId="39E19F94" w14:textId="234C6B43" w:rsidR="00AE5E2C" w:rsidRDefault="009D2925" w:rsidP="00AE5E2C">
      <w:pPr>
        <w:spacing w:after="0" w:line="240" w:lineRule="auto"/>
        <w:rPr>
          <w:rFonts w:cstheme="minorHAnsi"/>
          <w:color w:val="000000"/>
        </w:rPr>
      </w:pPr>
      <w:r>
        <w:rPr>
          <w:rFonts w:cstheme="minorHAnsi"/>
          <w:color w:val="000000"/>
        </w:rPr>
        <w:t>Riparian forest buffers (agricultural and urban) receive and process effluent from upland acres and therefore are credited for those acres.</w:t>
      </w:r>
      <w:r w:rsidR="00EF7E94">
        <w:rPr>
          <w:rFonts w:cstheme="minorHAnsi"/>
          <w:color w:val="000000"/>
        </w:rPr>
        <w:t xml:space="preserve">  Therefore, it is important to continue to verify these practices after they are accounted for in the Land Use model so that they stay in NEIEN and continue to be credited by CAST unless they are backed out).  </w:t>
      </w:r>
      <w:r w:rsidR="00AE5E2C">
        <w:rPr>
          <w:rFonts w:cstheme="minorHAnsi"/>
          <w:color w:val="000000"/>
        </w:rPr>
        <w:t>The transition from credit duration to Land Use model is important</w:t>
      </w:r>
      <w:r w:rsidR="00EF7E94">
        <w:rPr>
          <w:rFonts w:cstheme="minorHAnsi"/>
          <w:color w:val="000000"/>
        </w:rPr>
        <w:t xml:space="preserve"> in part because of the additional acreage for this practice and the “b</w:t>
      </w:r>
      <w:r w:rsidR="00AE5E2C">
        <w:rPr>
          <w:rFonts w:cstheme="minorHAnsi"/>
          <w:color w:val="000000"/>
        </w:rPr>
        <w:t>ack</w:t>
      </w:r>
      <w:r w:rsidR="00EF7E94">
        <w:rPr>
          <w:rFonts w:cstheme="minorHAnsi"/>
          <w:color w:val="000000"/>
        </w:rPr>
        <w:t xml:space="preserve"> o</w:t>
      </w:r>
      <w:r w:rsidR="00AE5E2C">
        <w:rPr>
          <w:rFonts w:cstheme="minorHAnsi"/>
          <w:color w:val="000000"/>
        </w:rPr>
        <w:t>ut</w:t>
      </w:r>
      <w:r w:rsidR="00EF7E94">
        <w:rPr>
          <w:rFonts w:cstheme="minorHAnsi"/>
          <w:color w:val="000000"/>
        </w:rPr>
        <w:t xml:space="preserve">” that may be attributed.  </w:t>
      </w:r>
    </w:p>
    <w:p w14:paraId="3729DEBA" w14:textId="21B97869" w:rsidR="00AE5E2C" w:rsidRDefault="00AE5E2C" w:rsidP="00AE5E2C">
      <w:pPr>
        <w:spacing w:after="0" w:line="240" w:lineRule="auto"/>
        <w:rPr>
          <w:rFonts w:cstheme="minorHAnsi"/>
          <w:color w:val="000000"/>
        </w:rPr>
      </w:pPr>
    </w:p>
    <w:tbl>
      <w:tblPr>
        <w:tblStyle w:val="TableGrid"/>
        <w:tblpPr w:leftFromText="180" w:rightFromText="180" w:vertAnchor="page" w:horzAnchor="margin" w:tblpY="5581"/>
        <w:tblW w:w="0" w:type="auto"/>
        <w:tblLook w:val="04A0" w:firstRow="1" w:lastRow="0" w:firstColumn="1" w:lastColumn="0" w:noHBand="0" w:noVBand="1"/>
      </w:tblPr>
      <w:tblGrid>
        <w:gridCol w:w="3196"/>
        <w:gridCol w:w="1525"/>
        <w:gridCol w:w="1439"/>
        <w:gridCol w:w="1711"/>
        <w:gridCol w:w="1440"/>
      </w:tblGrid>
      <w:tr w:rsidR="00EF7E94" w14:paraId="351F3ECE" w14:textId="77777777" w:rsidTr="00EF7E94">
        <w:trPr>
          <w:trHeight w:val="587"/>
        </w:trPr>
        <w:tc>
          <w:tcPr>
            <w:tcW w:w="3196" w:type="dxa"/>
            <w:vMerge w:val="restart"/>
          </w:tcPr>
          <w:p w14:paraId="1542EDA3" w14:textId="77777777" w:rsidR="00EF7E94" w:rsidRDefault="00EF7E94" w:rsidP="00EF7E94">
            <w:pPr>
              <w:spacing w:line="240" w:lineRule="auto"/>
              <w:rPr>
                <w:b/>
                <w:sz w:val="24"/>
                <w:szCs w:val="24"/>
              </w:rPr>
            </w:pPr>
          </w:p>
          <w:p w14:paraId="43A33DA9" w14:textId="77777777" w:rsidR="00EF7E94" w:rsidRPr="00E12144" w:rsidRDefault="00EF7E94" w:rsidP="00EF7E94">
            <w:pPr>
              <w:spacing w:line="240" w:lineRule="auto"/>
              <w:rPr>
                <w:b/>
                <w:sz w:val="24"/>
                <w:szCs w:val="24"/>
              </w:rPr>
            </w:pPr>
            <w:r w:rsidRPr="00E12144">
              <w:rPr>
                <w:b/>
                <w:sz w:val="24"/>
                <w:szCs w:val="24"/>
              </w:rPr>
              <w:t>Forestry BMP</w:t>
            </w:r>
          </w:p>
        </w:tc>
        <w:tc>
          <w:tcPr>
            <w:tcW w:w="2964" w:type="dxa"/>
            <w:gridSpan w:val="2"/>
          </w:tcPr>
          <w:p w14:paraId="6881661E" w14:textId="77777777" w:rsidR="00EF7E94" w:rsidRPr="00E12144" w:rsidRDefault="00EF7E94" w:rsidP="00EF7E94">
            <w:pPr>
              <w:spacing w:line="240" w:lineRule="auto"/>
              <w:jc w:val="center"/>
              <w:rPr>
                <w:b/>
                <w:sz w:val="24"/>
                <w:szCs w:val="24"/>
              </w:rPr>
            </w:pPr>
            <w:r>
              <w:rPr>
                <w:b/>
                <w:sz w:val="24"/>
                <w:szCs w:val="24"/>
              </w:rPr>
              <w:t xml:space="preserve">Practice </w:t>
            </w:r>
            <w:r w:rsidRPr="00E12144">
              <w:rPr>
                <w:b/>
                <w:sz w:val="24"/>
                <w:szCs w:val="24"/>
              </w:rPr>
              <w:t>Life Span</w:t>
            </w:r>
          </w:p>
        </w:tc>
        <w:tc>
          <w:tcPr>
            <w:tcW w:w="3151" w:type="dxa"/>
            <w:gridSpan w:val="2"/>
          </w:tcPr>
          <w:p w14:paraId="4737720D" w14:textId="77777777" w:rsidR="00EF7E94" w:rsidRPr="00E12144" w:rsidRDefault="00EF7E94" w:rsidP="00EF7E94">
            <w:pPr>
              <w:spacing w:line="240" w:lineRule="auto"/>
              <w:jc w:val="center"/>
              <w:rPr>
                <w:b/>
                <w:sz w:val="24"/>
                <w:szCs w:val="24"/>
              </w:rPr>
            </w:pPr>
            <w:r w:rsidRPr="00E12144">
              <w:rPr>
                <w:b/>
                <w:sz w:val="24"/>
                <w:szCs w:val="24"/>
              </w:rPr>
              <w:t>Credit Duration</w:t>
            </w:r>
          </w:p>
        </w:tc>
      </w:tr>
      <w:tr w:rsidR="00EF7E94" w14:paraId="107BC116" w14:textId="77777777" w:rsidTr="00EF7E94">
        <w:trPr>
          <w:trHeight w:val="383"/>
        </w:trPr>
        <w:tc>
          <w:tcPr>
            <w:tcW w:w="3196" w:type="dxa"/>
            <w:vMerge/>
          </w:tcPr>
          <w:p w14:paraId="0AB935C3" w14:textId="77777777" w:rsidR="00EF7E94" w:rsidRPr="00E12144" w:rsidRDefault="00EF7E94" w:rsidP="00EF7E94">
            <w:pPr>
              <w:spacing w:line="240" w:lineRule="auto"/>
              <w:rPr>
                <w:rFonts w:cstheme="minorHAnsi"/>
                <w:color w:val="000000"/>
              </w:rPr>
            </w:pPr>
          </w:p>
        </w:tc>
        <w:tc>
          <w:tcPr>
            <w:tcW w:w="1525" w:type="dxa"/>
          </w:tcPr>
          <w:p w14:paraId="7E5033E8" w14:textId="77777777" w:rsidR="00EF7E94" w:rsidRDefault="00EF7E94" w:rsidP="00EF7E94">
            <w:pPr>
              <w:spacing w:line="240" w:lineRule="auto"/>
              <w:rPr>
                <w:bCs/>
              </w:rPr>
            </w:pPr>
            <w:r>
              <w:rPr>
                <w:bCs/>
              </w:rPr>
              <w:t xml:space="preserve">Current                  </w:t>
            </w:r>
          </w:p>
        </w:tc>
        <w:tc>
          <w:tcPr>
            <w:tcW w:w="1439" w:type="dxa"/>
            <w:shd w:val="clear" w:color="auto" w:fill="E7E6E6" w:themeFill="background2"/>
          </w:tcPr>
          <w:p w14:paraId="65E442B7" w14:textId="77777777" w:rsidR="00EF7E94" w:rsidRDefault="00EF7E94" w:rsidP="00EF7E94">
            <w:pPr>
              <w:spacing w:line="240" w:lineRule="auto"/>
              <w:rPr>
                <w:bCs/>
              </w:rPr>
            </w:pPr>
            <w:r>
              <w:rPr>
                <w:bCs/>
              </w:rPr>
              <w:t>Proposed</w:t>
            </w:r>
          </w:p>
        </w:tc>
        <w:tc>
          <w:tcPr>
            <w:tcW w:w="1711" w:type="dxa"/>
          </w:tcPr>
          <w:p w14:paraId="00E05501" w14:textId="77777777" w:rsidR="00EF7E94" w:rsidRDefault="00EF7E94" w:rsidP="00EF7E94">
            <w:pPr>
              <w:spacing w:line="240" w:lineRule="auto"/>
              <w:rPr>
                <w:bCs/>
              </w:rPr>
            </w:pPr>
            <w:r>
              <w:rPr>
                <w:bCs/>
              </w:rPr>
              <w:t>Current</w:t>
            </w:r>
          </w:p>
        </w:tc>
        <w:tc>
          <w:tcPr>
            <w:tcW w:w="1440" w:type="dxa"/>
            <w:shd w:val="clear" w:color="auto" w:fill="E7E6E6" w:themeFill="background2"/>
          </w:tcPr>
          <w:p w14:paraId="3929B7C5" w14:textId="77777777" w:rsidR="00EF7E94" w:rsidRDefault="00EF7E94" w:rsidP="00EF7E94">
            <w:pPr>
              <w:spacing w:line="240" w:lineRule="auto"/>
              <w:rPr>
                <w:bCs/>
              </w:rPr>
            </w:pPr>
            <w:r>
              <w:rPr>
                <w:bCs/>
              </w:rPr>
              <w:t>Proposed</w:t>
            </w:r>
          </w:p>
        </w:tc>
      </w:tr>
      <w:tr w:rsidR="00EF7E94" w14:paraId="052024E2" w14:textId="77777777" w:rsidTr="00EF7E94">
        <w:trPr>
          <w:trHeight w:val="542"/>
        </w:trPr>
        <w:tc>
          <w:tcPr>
            <w:tcW w:w="3196" w:type="dxa"/>
            <w:shd w:val="clear" w:color="auto" w:fill="F2F2F2" w:themeFill="background1" w:themeFillShade="F2"/>
          </w:tcPr>
          <w:p w14:paraId="76AB10A0" w14:textId="77777777" w:rsidR="00EF7E94" w:rsidRDefault="00EF7E94" w:rsidP="00EF7E94">
            <w:pPr>
              <w:spacing w:line="240" w:lineRule="auto"/>
              <w:rPr>
                <w:bCs/>
              </w:rPr>
            </w:pPr>
            <w:r>
              <w:rPr>
                <w:rFonts w:cstheme="minorHAnsi"/>
                <w:color w:val="000000"/>
              </w:rPr>
              <w:t>Ag</w:t>
            </w:r>
            <w:r w:rsidR="00E12144" w:rsidRPr="00E12144">
              <w:rPr>
                <w:rFonts w:cstheme="minorHAnsi"/>
                <w:color w:val="000000"/>
              </w:rPr>
              <w:t xml:space="preserve"> Forest Buffer</w:t>
            </w:r>
            <w:r w:rsidRPr="00EF7E94">
              <w:rPr>
                <w:bCs/>
                <w:vertAlign w:val="superscript"/>
              </w:rPr>
              <w:t>1</w:t>
            </w:r>
          </w:p>
        </w:tc>
        <w:tc>
          <w:tcPr>
            <w:tcW w:w="1525" w:type="dxa"/>
          </w:tcPr>
          <w:p w14:paraId="1BA9CDB4" w14:textId="77777777" w:rsidR="00EF7E94" w:rsidRDefault="00EF7E94" w:rsidP="00EF7E94">
            <w:pPr>
              <w:spacing w:line="240" w:lineRule="auto"/>
              <w:rPr>
                <w:bCs/>
              </w:rPr>
            </w:pPr>
            <w:r>
              <w:rPr>
                <w:bCs/>
              </w:rPr>
              <w:t>40 years</w:t>
            </w:r>
          </w:p>
        </w:tc>
        <w:tc>
          <w:tcPr>
            <w:tcW w:w="1439" w:type="dxa"/>
            <w:shd w:val="clear" w:color="auto" w:fill="E7E6E6" w:themeFill="background2"/>
          </w:tcPr>
          <w:p w14:paraId="5C45245E" w14:textId="77777777" w:rsidR="00EF7E94" w:rsidRDefault="00EF7E94" w:rsidP="00EF7E94">
            <w:pPr>
              <w:spacing w:line="240" w:lineRule="auto"/>
              <w:rPr>
                <w:bCs/>
              </w:rPr>
            </w:pPr>
            <w:r>
              <w:rPr>
                <w:bCs/>
              </w:rPr>
              <w:t>70 years</w:t>
            </w:r>
          </w:p>
        </w:tc>
        <w:tc>
          <w:tcPr>
            <w:tcW w:w="1711" w:type="dxa"/>
          </w:tcPr>
          <w:p w14:paraId="639109E8" w14:textId="77777777" w:rsidR="00EF7E94" w:rsidRDefault="00EF7E94" w:rsidP="00EF7E94">
            <w:pPr>
              <w:spacing w:line="240" w:lineRule="auto"/>
              <w:rPr>
                <w:bCs/>
              </w:rPr>
            </w:pPr>
            <w:r>
              <w:rPr>
                <w:bCs/>
              </w:rPr>
              <w:t>10 years</w:t>
            </w:r>
          </w:p>
        </w:tc>
        <w:tc>
          <w:tcPr>
            <w:tcW w:w="1440" w:type="dxa"/>
            <w:shd w:val="clear" w:color="auto" w:fill="E7E6E6" w:themeFill="background2"/>
          </w:tcPr>
          <w:p w14:paraId="4E35E85D" w14:textId="77777777" w:rsidR="00EF7E94" w:rsidRDefault="00EF7E94" w:rsidP="00EF7E94">
            <w:pPr>
              <w:spacing w:line="240" w:lineRule="auto"/>
              <w:rPr>
                <w:bCs/>
              </w:rPr>
            </w:pPr>
            <w:r>
              <w:rPr>
                <w:bCs/>
              </w:rPr>
              <w:t>15 years</w:t>
            </w:r>
          </w:p>
        </w:tc>
      </w:tr>
      <w:tr w:rsidR="00EF7E94" w14:paraId="723BA890" w14:textId="77777777" w:rsidTr="00EF7E94">
        <w:trPr>
          <w:trHeight w:val="542"/>
        </w:trPr>
        <w:tc>
          <w:tcPr>
            <w:tcW w:w="3196" w:type="dxa"/>
            <w:shd w:val="clear" w:color="auto" w:fill="F2F2F2" w:themeFill="background1" w:themeFillShade="F2"/>
          </w:tcPr>
          <w:p w14:paraId="3D33B790" w14:textId="77777777" w:rsidR="00EF7E94" w:rsidRDefault="00E12144" w:rsidP="00EF7E94">
            <w:pPr>
              <w:spacing w:line="240" w:lineRule="auto"/>
              <w:rPr>
                <w:bCs/>
              </w:rPr>
            </w:pPr>
            <w:r w:rsidRPr="00E12144">
              <w:rPr>
                <w:rFonts w:cstheme="minorHAnsi"/>
                <w:color w:val="000000"/>
              </w:rPr>
              <w:t>Urban Forest Buffer</w:t>
            </w:r>
          </w:p>
        </w:tc>
        <w:tc>
          <w:tcPr>
            <w:tcW w:w="1525" w:type="dxa"/>
          </w:tcPr>
          <w:p w14:paraId="0415D167" w14:textId="77777777" w:rsidR="00EF7E94" w:rsidRDefault="00EF7E94" w:rsidP="00EF7E94">
            <w:pPr>
              <w:spacing w:line="240" w:lineRule="auto"/>
              <w:rPr>
                <w:bCs/>
              </w:rPr>
            </w:pPr>
            <w:r>
              <w:rPr>
                <w:bCs/>
              </w:rPr>
              <w:t>Undetermined</w:t>
            </w:r>
          </w:p>
        </w:tc>
        <w:tc>
          <w:tcPr>
            <w:tcW w:w="1439" w:type="dxa"/>
            <w:shd w:val="clear" w:color="auto" w:fill="E7E6E6" w:themeFill="background2"/>
          </w:tcPr>
          <w:p w14:paraId="540F17D6" w14:textId="77777777" w:rsidR="00EF7E94" w:rsidRDefault="00EF7E94" w:rsidP="00EF7E94">
            <w:pPr>
              <w:spacing w:line="240" w:lineRule="auto"/>
              <w:rPr>
                <w:bCs/>
              </w:rPr>
            </w:pPr>
            <w:r>
              <w:rPr>
                <w:bCs/>
              </w:rPr>
              <w:t>70 years</w:t>
            </w:r>
          </w:p>
        </w:tc>
        <w:tc>
          <w:tcPr>
            <w:tcW w:w="1711" w:type="dxa"/>
          </w:tcPr>
          <w:p w14:paraId="62124827" w14:textId="77777777" w:rsidR="00EF7E94" w:rsidRDefault="00EF7E94" w:rsidP="00EF7E94">
            <w:pPr>
              <w:spacing w:line="240" w:lineRule="auto"/>
              <w:rPr>
                <w:bCs/>
              </w:rPr>
            </w:pPr>
            <w:r>
              <w:rPr>
                <w:bCs/>
              </w:rPr>
              <w:t>15 years</w:t>
            </w:r>
          </w:p>
        </w:tc>
        <w:tc>
          <w:tcPr>
            <w:tcW w:w="1440" w:type="dxa"/>
            <w:shd w:val="clear" w:color="auto" w:fill="E7E6E6" w:themeFill="background2"/>
          </w:tcPr>
          <w:p w14:paraId="7266F115" w14:textId="77777777" w:rsidR="00EF7E94" w:rsidRDefault="00EF7E94" w:rsidP="00EF7E94">
            <w:pPr>
              <w:spacing w:line="240" w:lineRule="auto"/>
              <w:rPr>
                <w:bCs/>
              </w:rPr>
            </w:pPr>
            <w:r>
              <w:rPr>
                <w:bCs/>
              </w:rPr>
              <w:t>No change</w:t>
            </w:r>
          </w:p>
        </w:tc>
      </w:tr>
      <w:tr w:rsidR="00EF7E94" w14:paraId="363C6745" w14:textId="77777777" w:rsidTr="00EF7E94">
        <w:trPr>
          <w:trHeight w:val="713"/>
        </w:trPr>
        <w:tc>
          <w:tcPr>
            <w:tcW w:w="3196" w:type="dxa"/>
            <w:shd w:val="clear" w:color="auto" w:fill="F2F2F2" w:themeFill="background1" w:themeFillShade="F2"/>
          </w:tcPr>
          <w:p w14:paraId="75BE98EA" w14:textId="77777777" w:rsidR="00EF7E94" w:rsidRDefault="00E12144" w:rsidP="00EF7E94">
            <w:pPr>
              <w:spacing w:line="240" w:lineRule="auto"/>
              <w:rPr>
                <w:bCs/>
              </w:rPr>
            </w:pPr>
            <w:r w:rsidRPr="00E12144">
              <w:rPr>
                <w:rFonts w:cstheme="minorHAnsi"/>
                <w:color w:val="000000"/>
              </w:rPr>
              <w:t>Tree Planting</w:t>
            </w:r>
            <w:r w:rsidR="00EF7E94">
              <w:rPr>
                <w:rFonts w:cstheme="minorHAnsi"/>
                <w:color w:val="000000"/>
              </w:rPr>
              <w:t xml:space="preserve"> </w:t>
            </w:r>
          </w:p>
        </w:tc>
        <w:tc>
          <w:tcPr>
            <w:tcW w:w="1525" w:type="dxa"/>
          </w:tcPr>
          <w:p w14:paraId="2BFD4BE9" w14:textId="77777777" w:rsidR="00EF7E94" w:rsidRDefault="00EF7E94" w:rsidP="00EF7E94">
            <w:pPr>
              <w:spacing w:line="240" w:lineRule="auto"/>
              <w:rPr>
                <w:bCs/>
              </w:rPr>
            </w:pPr>
            <w:r>
              <w:rPr>
                <w:bCs/>
              </w:rPr>
              <w:t>Undetermined</w:t>
            </w:r>
          </w:p>
        </w:tc>
        <w:tc>
          <w:tcPr>
            <w:tcW w:w="1439" w:type="dxa"/>
            <w:shd w:val="clear" w:color="auto" w:fill="E7E6E6" w:themeFill="background2"/>
          </w:tcPr>
          <w:p w14:paraId="2F55E9B6" w14:textId="77777777" w:rsidR="00EF7E94" w:rsidRPr="00620770" w:rsidRDefault="00EF7E94" w:rsidP="00EF7E94">
            <w:pPr>
              <w:spacing w:line="240" w:lineRule="auto"/>
              <w:rPr>
                <w:bCs/>
                <w:i/>
                <w:iCs/>
              </w:rPr>
            </w:pPr>
            <w:r w:rsidRPr="00EF7E94">
              <w:rPr>
                <w:bCs/>
                <w:i/>
                <w:iCs/>
                <w:highlight w:val="lightGray"/>
              </w:rPr>
              <w:t>35 years</w:t>
            </w:r>
          </w:p>
        </w:tc>
        <w:tc>
          <w:tcPr>
            <w:tcW w:w="1711" w:type="dxa"/>
          </w:tcPr>
          <w:p w14:paraId="0DF3AA36" w14:textId="77777777" w:rsidR="00EF7E94" w:rsidRDefault="00EF7E94" w:rsidP="00EF7E94">
            <w:pPr>
              <w:spacing w:line="240" w:lineRule="auto"/>
              <w:rPr>
                <w:bCs/>
              </w:rPr>
            </w:pPr>
            <w:r>
              <w:rPr>
                <w:bCs/>
              </w:rPr>
              <w:t>10 years then modeled as Land Use</w:t>
            </w:r>
          </w:p>
        </w:tc>
        <w:tc>
          <w:tcPr>
            <w:tcW w:w="1440" w:type="dxa"/>
            <w:shd w:val="clear" w:color="auto" w:fill="E7E6E6" w:themeFill="background2"/>
          </w:tcPr>
          <w:p w14:paraId="57D58AD8" w14:textId="77777777" w:rsidR="00EF7E94" w:rsidRPr="00EF7E94" w:rsidRDefault="00EF7E94" w:rsidP="00EF7E94">
            <w:pPr>
              <w:spacing w:line="240" w:lineRule="auto"/>
              <w:rPr>
                <w:bCs/>
              </w:rPr>
            </w:pPr>
            <w:r w:rsidRPr="00EF7E94">
              <w:rPr>
                <w:bCs/>
              </w:rPr>
              <w:t>No change</w:t>
            </w:r>
          </w:p>
        </w:tc>
      </w:tr>
      <w:tr w:rsidR="00EF7E94" w14:paraId="7B6F4E92" w14:textId="77777777" w:rsidTr="00EF7E94">
        <w:trPr>
          <w:trHeight w:val="542"/>
        </w:trPr>
        <w:tc>
          <w:tcPr>
            <w:tcW w:w="3196" w:type="dxa"/>
            <w:shd w:val="clear" w:color="auto" w:fill="F2F2F2" w:themeFill="background1" w:themeFillShade="F2"/>
          </w:tcPr>
          <w:p w14:paraId="4652A3FF" w14:textId="77777777" w:rsidR="00EF7E94" w:rsidRDefault="00E12144" w:rsidP="00EF7E94">
            <w:pPr>
              <w:spacing w:line="240" w:lineRule="auto"/>
              <w:rPr>
                <w:bCs/>
              </w:rPr>
            </w:pPr>
            <w:r w:rsidRPr="00E12144">
              <w:rPr>
                <w:rFonts w:cstheme="minorHAnsi"/>
                <w:color w:val="000000"/>
              </w:rPr>
              <w:t>Forest Planting</w:t>
            </w:r>
          </w:p>
        </w:tc>
        <w:tc>
          <w:tcPr>
            <w:tcW w:w="1525" w:type="dxa"/>
          </w:tcPr>
          <w:p w14:paraId="6B6A56FC" w14:textId="77777777" w:rsidR="00EF7E94" w:rsidRDefault="00EF7E94" w:rsidP="00EF7E94">
            <w:pPr>
              <w:spacing w:line="240" w:lineRule="auto"/>
              <w:rPr>
                <w:bCs/>
              </w:rPr>
            </w:pPr>
            <w:r>
              <w:rPr>
                <w:bCs/>
              </w:rPr>
              <w:t>Undetermined</w:t>
            </w:r>
          </w:p>
        </w:tc>
        <w:tc>
          <w:tcPr>
            <w:tcW w:w="1439" w:type="dxa"/>
            <w:shd w:val="clear" w:color="auto" w:fill="E7E6E6" w:themeFill="background2"/>
          </w:tcPr>
          <w:p w14:paraId="6997EA38" w14:textId="77777777" w:rsidR="00EF7E94" w:rsidRPr="00620770" w:rsidRDefault="00EF7E94" w:rsidP="00EF7E94">
            <w:pPr>
              <w:spacing w:line="240" w:lineRule="auto"/>
              <w:rPr>
                <w:bCs/>
                <w:i/>
                <w:iCs/>
              </w:rPr>
            </w:pPr>
            <w:r w:rsidRPr="00EF7E94">
              <w:rPr>
                <w:bCs/>
                <w:i/>
                <w:iCs/>
                <w:highlight w:val="lightGray"/>
              </w:rPr>
              <w:t>70 years</w:t>
            </w:r>
          </w:p>
        </w:tc>
        <w:tc>
          <w:tcPr>
            <w:tcW w:w="1711" w:type="dxa"/>
          </w:tcPr>
          <w:p w14:paraId="04015D1C" w14:textId="77777777" w:rsidR="00EF7E94" w:rsidRDefault="00EF7E94" w:rsidP="00EF7E94">
            <w:pPr>
              <w:spacing w:line="240" w:lineRule="auto"/>
              <w:rPr>
                <w:bCs/>
              </w:rPr>
            </w:pPr>
            <w:r>
              <w:rPr>
                <w:bCs/>
              </w:rPr>
              <w:t>10 years then modeled as Land Use</w:t>
            </w:r>
          </w:p>
        </w:tc>
        <w:tc>
          <w:tcPr>
            <w:tcW w:w="1440" w:type="dxa"/>
            <w:shd w:val="clear" w:color="auto" w:fill="E7E6E6" w:themeFill="background2"/>
          </w:tcPr>
          <w:p w14:paraId="435DAAD4" w14:textId="77777777" w:rsidR="00EF7E94" w:rsidRPr="002F5580" w:rsidRDefault="00EF7E94" w:rsidP="00EF7E94">
            <w:pPr>
              <w:spacing w:line="240" w:lineRule="auto"/>
              <w:rPr>
                <w:bCs/>
                <w:i/>
                <w:iCs/>
              </w:rPr>
            </w:pPr>
            <w:r w:rsidRPr="00EF7E94">
              <w:rPr>
                <w:bCs/>
                <w:i/>
                <w:iCs/>
                <w:highlight w:val="lightGray"/>
              </w:rPr>
              <w:t>No change</w:t>
            </w:r>
          </w:p>
        </w:tc>
      </w:tr>
      <w:tr w:rsidR="00EF7E94" w14:paraId="4EF346E3" w14:textId="77777777" w:rsidTr="00EF7E94">
        <w:trPr>
          <w:trHeight w:val="497"/>
        </w:trPr>
        <w:tc>
          <w:tcPr>
            <w:tcW w:w="3196" w:type="dxa"/>
            <w:shd w:val="clear" w:color="auto" w:fill="F2F2F2" w:themeFill="background1" w:themeFillShade="F2"/>
          </w:tcPr>
          <w:p w14:paraId="782622C8" w14:textId="77777777" w:rsidR="00EF7E94" w:rsidRDefault="00E12144" w:rsidP="00EF7E94">
            <w:pPr>
              <w:spacing w:line="240" w:lineRule="auto"/>
              <w:rPr>
                <w:bCs/>
              </w:rPr>
            </w:pPr>
            <w:r w:rsidRPr="00E12144">
              <w:rPr>
                <w:rFonts w:cstheme="minorHAnsi"/>
                <w:color w:val="000000"/>
              </w:rPr>
              <w:t>Forest Harvesting</w:t>
            </w:r>
          </w:p>
        </w:tc>
        <w:tc>
          <w:tcPr>
            <w:tcW w:w="1525" w:type="dxa"/>
          </w:tcPr>
          <w:p w14:paraId="6A115AA6" w14:textId="77777777" w:rsidR="00EF7E94" w:rsidRDefault="00EF7E94" w:rsidP="00EF7E94">
            <w:pPr>
              <w:spacing w:line="240" w:lineRule="auto"/>
              <w:rPr>
                <w:bCs/>
              </w:rPr>
            </w:pPr>
            <w:r>
              <w:rPr>
                <w:bCs/>
              </w:rPr>
              <w:t xml:space="preserve">3 years </w:t>
            </w:r>
          </w:p>
        </w:tc>
        <w:tc>
          <w:tcPr>
            <w:tcW w:w="1439" w:type="dxa"/>
            <w:shd w:val="clear" w:color="auto" w:fill="E7E6E6" w:themeFill="background2"/>
          </w:tcPr>
          <w:p w14:paraId="36CF8638" w14:textId="77777777" w:rsidR="00EF7E94" w:rsidRDefault="00EF7E94" w:rsidP="00EF7E94">
            <w:pPr>
              <w:spacing w:line="240" w:lineRule="auto"/>
              <w:rPr>
                <w:bCs/>
              </w:rPr>
            </w:pPr>
            <w:r>
              <w:rPr>
                <w:bCs/>
              </w:rPr>
              <w:t>No change</w:t>
            </w:r>
          </w:p>
        </w:tc>
        <w:tc>
          <w:tcPr>
            <w:tcW w:w="1711" w:type="dxa"/>
          </w:tcPr>
          <w:p w14:paraId="525CEC1B" w14:textId="77777777" w:rsidR="00EF7E94" w:rsidRDefault="00EF7E94" w:rsidP="00EF7E94">
            <w:pPr>
              <w:spacing w:line="240" w:lineRule="auto"/>
              <w:rPr>
                <w:bCs/>
              </w:rPr>
            </w:pPr>
            <w:r>
              <w:rPr>
                <w:bCs/>
              </w:rPr>
              <w:t>3 years then reverts to Forest Land Use</w:t>
            </w:r>
          </w:p>
        </w:tc>
        <w:tc>
          <w:tcPr>
            <w:tcW w:w="1440" w:type="dxa"/>
            <w:shd w:val="clear" w:color="auto" w:fill="E7E6E6" w:themeFill="background2"/>
          </w:tcPr>
          <w:p w14:paraId="51DAB8E0" w14:textId="77777777" w:rsidR="00EF7E94" w:rsidRDefault="00EF7E94" w:rsidP="00EF7E94">
            <w:pPr>
              <w:spacing w:line="240" w:lineRule="auto"/>
              <w:rPr>
                <w:bCs/>
              </w:rPr>
            </w:pPr>
            <w:r>
              <w:rPr>
                <w:bCs/>
              </w:rPr>
              <w:t>No change</w:t>
            </w:r>
          </w:p>
        </w:tc>
      </w:tr>
    </w:tbl>
    <w:p w14:paraId="1B9E5163" w14:textId="65F34050" w:rsidR="007C24FD" w:rsidRDefault="00897F85"/>
    <w:p w14:paraId="6BA4072A" w14:textId="77777777" w:rsidR="00BC2E22" w:rsidRDefault="00BC2E22">
      <w:pPr>
        <w:rPr>
          <w:bCs/>
        </w:rPr>
      </w:pPr>
      <w:r w:rsidRPr="00BC2E22">
        <w:rPr>
          <w:bCs/>
          <w:u w:val="single"/>
        </w:rPr>
        <w:t>Agricultural Forest Buffers</w:t>
      </w:r>
      <w:r>
        <w:rPr>
          <w:bCs/>
        </w:rPr>
        <w:t xml:space="preserve"> </w:t>
      </w:r>
    </w:p>
    <w:p w14:paraId="7DA18E03" w14:textId="46B89C66" w:rsidR="007000DF" w:rsidRDefault="00BC2E22">
      <w:pPr>
        <w:rPr>
          <w:bCs/>
        </w:rPr>
      </w:pPr>
      <w:r w:rsidRPr="00BC2E22">
        <w:rPr>
          <w:bCs/>
        </w:rPr>
        <w:t>Agricultural Forest Buffers</w:t>
      </w:r>
      <w:r>
        <w:rPr>
          <w:bCs/>
        </w:rPr>
        <w:t xml:space="preserve"> have been previously determined to last a minimum </w:t>
      </w:r>
      <w:r w:rsidR="00B13051">
        <w:rPr>
          <w:bCs/>
        </w:rPr>
        <w:t xml:space="preserve">average </w:t>
      </w:r>
      <w:r>
        <w:rPr>
          <w:bCs/>
        </w:rPr>
        <w:t xml:space="preserve">of 70 years (Expert Panel 2012).  </w:t>
      </w:r>
      <w:r w:rsidR="00B13051">
        <w:rPr>
          <w:bCs/>
        </w:rPr>
        <w:t>Four r</w:t>
      </w:r>
      <w:r>
        <w:rPr>
          <w:bCs/>
        </w:rPr>
        <w:t xml:space="preserve">easons </w:t>
      </w:r>
      <w:r w:rsidR="00B13051">
        <w:rPr>
          <w:bCs/>
        </w:rPr>
        <w:t>are given</w:t>
      </w:r>
      <w:r>
        <w:rPr>
          <w:bCs/>
        </w:rPr>
        <w:t xml:space="preserve">: 1) Once a forest is established after 15 years, it is unlikely to be removed.  2) The results of multiple landowner surveys have shown that 80-88% of landowners intend to keep the forest indefinitely. 3) Forests are naturally regenerative.  4) the practice life of the forest is not dependent on fencing (fencing is for cows, not trees) and after 15 years of establishment </w:t>
      </w:r>
      <w:r w:rsidR="00B13051">
        <w:rPr>
          <w:bCs/>
        </w:rPr>
        <w:t xml:space="preserve">(credit duration) </w:t>
      </w:r>
      <w:r>
        <w:rPr>
          <w:bCs/>
        </w:rPr>
        <w:t xml:space="preserve">some grazing can occur without impacting buffer function. </w:t>
      </w:r>
      <w:bookmarkStart w:id="0" w:name="_GoBack"/>
      <w:bookmarkEnd w:id="0"/>
    </w:p>
    <w:p w14:paraId="3FE1D3E0" w14:textId="0A49DDED" w:rsidR="00B13051" w:rsidRPr="00BC2E22" w:rsidRDefault="00B13051">
      <w:pPr>
        <w:rPr>
          <w:bCs/>
        </w:rPr>
      </w:pPr>
    </w:p>
    <w:sectPr w:rsidR="00B13051" w:rsidRPr="00BC2E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21D3C" w14:textId="77777777" w:rsidR="00897F85" w:rsidRDefault="00897F85" w:rsidP="007000DF">
      <w:pPr>
        <w:spacing w:after="0" w:line="240" w:lineRule="auto"/>
      </w:pPr>
      <w:r>
        <w:separator/>
      </w:r>
    </w:p>
  </w:endnote>
  <w:endnote w:type="continuationSeparator" w:id="0">
    <w:p w14:paraId="7F3C4201" w14:textId="77777777" w:rsidR="00897F85" w:rsidRDefault="00897F85" w:rsidP="0070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CE16" w14:textId="77777777" w:rsidR="007000DF" w:rsidRDefault="00700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3E17" w14:textId="77777777" w:rsidR="007000DF" w:rsidRDefault="00700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6743" w14:textId="77777777" w:rsidR="007000DF" w:rsidRDefault="00700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43A13" w14:textId="77777777" w:rsidR="00897F85" w:rsidRDefault="00897F85" w:rsidP="007000DF">
      <w:pPr>
        <w:spacing w:after="0" w:line="240" w:lineRule="auto"/>
      </w:pPr>
      <w:r>
        <w:separator/>
      </w:r>
    </w:p>
  </w:footnote>
  <w:footnote w:type="continuationSeparator" w:id="0">
    <w:p w14:paraId="02064294" w14:textId="77777777" w:rsidR="00897F85" w:rsidRDefault="00897F85" w:rsidP="00700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28C7" w14:textId="6F053489" w:rsidR="007000DF" w:rsidRDefault="007000DF">
    <w:pPr>
      <w:pStyle w:val="Header"/>
    </w:pPr>
    <w:r>
      <w:rPr>
        <w:noProof/>
      </w:rPr>
      <w:pict w14:anchorId="482FD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2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6F98A" w14:textId="727DEE2F" w:rsidR="007000DF" w:rsidRDefault="007000DF">
    <w:pPr>
      <w:pStyle w:val="Header"/>
    </w:pPr>
    <w:r>
      <w:rPr>
        <w:noProof/>
      </w:rPr>
      <w:pict w14:anchorId="0F420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2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80D5" w14:textId="0FF201FF" w:rsidR="007000DF" w:rsidRDefault="007000DF">
    <w:pPr>
      <w:pStyle w:val="Header"/>
    </w:pPr>
    <w:r>
      <w:rPr>
        <w:noProof/>
      </w:rPr>
      <w:pict w14:anchorId="6E175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2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6175E"/>
    <w:multiLevelType w:val="hybridMultilevel"/>
    <w:tmpl w:val="7ADE3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1E5552"/>
    <w:multiLevelType w:val="hybridMultilevel"/>
    <w:tmpl w:val="E9260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B578C2"/>
    <w:multiLevelType w:val="hybridMultilevel"/>
    <w:tmpl w:val="0FB0274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5FA75602"/>
    <w:multiLevelType w:val="hybridMultilevel"/>
    <w:tmpl w:val="C56EA3E4"/>
    <w:lvl w:ilvl="0" w:tplc="0D82A278">
      <w:start w:val="1"/>
      <w:numFmt w:val="decimal"/>
      <w:lvlText w:val="%1)"/>
      <w:lvlJc w:val="left"/>
      <w:pPr>
        <w:tabs>
          <w:tab w:val="num" w:pos="720"/>
        </w:tabs>
        <w:ind w:left="720" w:hanging="360"/>
      </w:pPr>
    </w:lvl>
    <w:lvl w:ilvl="1" w:tplc="7E6A0742" w:tentative="1">
      <w:start w:val="1"/>
      <w:numFmt w:val="decimal"/>
      <w:lvlText w:val="%2)"/>
      <w:lvlJc w:val="left"/>
      <w:pPr>
        <w:tabs>
          <w:tab w:val="num" w:pos="1440"/>
        </w:tabs>
        <w:ind w:left="1440" w:hanging="360"/>
      </w:pPr>
    </w:lvl>
    <w:lvl w:ilvl="2" w:tplc="BCB85FEC" w:tentative="1">
      <w:start w:val="1"/>
      <w:numFmt w:val="decimal"/>
      <w:lvlText w:val="%3)"/>
      <w:lvlJc w:val="left"/>
      <w:pPr>
        <w:tabs>
          <w:tab w:val="num" w:pos="2160"/>
        </w:tabs>
        <w:ind w:left="2160" w:hanging="360"/>
      </w:pPr>
    </w:lvl>
    <w:lvl w:ilvl="3" w:tplc="5EE602D0" w:tentative="1">
      <w:start w:val="1"/>
      <w:numFmt w:val="decimal"/>
      <w:lvlText w:val="%4)"/>
      <w:lvlJc w:val="left"/>
      <w:pPr>
        <w:tabs>
          <w:tab w:val="num" w:pos="2880"/>
        </w:tabs>
        <w:ind w:left="2880" w:hanging="360"/>
      </w:pPr>
    </w:lvl>
    <w:lvl w:ilvl="4" w:tplc="4966623A" w:tentative="1">
      <w:start w:val="1"/>
      <w:numFmt w:val="decimal"/>
      <w:lvlText w:val="%5)"/>
      <w:lvlJc w:val="left"/>
      <w:pPr>
        <w:tabs>
          <w:tab w:val="num" w:pos="3600"/>
        </w:tabs>
        <w:ind w:left="3600" w:hanging="360"/>
      </w:pPr>
    </w:lvl>
    <w:lvl w:ilvl="5" w:tplc="C5D61E28" w:tentative="1">
      <w:start w:val="1"/>
      <w:numFmt w:val="decimal"/>
      <w:lvlText w:val="%6)"/>
      <w:lvlJc w:val="left"/>
      <w:pPr>
        <w:tabs>
          <w:tab w:val="num" w:pos="4320"/>
        </w:tabs>
        <w:ind w:left="4320" w:hanging="360"/>
      </w:pPr>
    </w:lvl>
    <w:lvl w:ilvl="6" w:tplc="51BC01B0" w:tentative="1">
      <w:start w:val="1"/>
      <w:numFmt w:val="decimal"/>
      <w:lvlText w:val="%7)"/>
      <w:lvlJc w:val="left"/>
      <w:pPr>
        <w:tabs>
          <w:tab w:val="num" w:pos="5040"/>
        </w:tabs>
        <w:ind w:left="5040" w:hanging="360"/>
      </w:pPr>
    </w:lvl>
    <w:lvl w:ilvl="7" w:tplc="FF6EBCCA" w:tentative="1">
      <w:start w:val="1"/>
      <w:numFmt w:val="decimal"/>
      <w:lvlText w:val="%8)"/>
      <w:lvlJc w:val="left"/>
      <w:pPr>
        <w:tabs>
          <w:tab w:val="num" w:pos="5760"/>
        </w:tabs>
        <w:ind w:left="5760" w:hanging="360"/>
      </w:pPr>
    </w:lvl>
    <w:lvl w:ilvl="8" w:tplc="4BE2844C" w:tentative="1">
      <w:start w:val="1"/>
      <w:numFmt w:val="decimal"/>
      <w:lvlText w:val="%9)"/>
      <w:lvlJc w:val="left"/>
      <w:pPr>
        <w:tabs>
          <w:tab w:val="num" w:pos="6480"/>
        </w:tabs>
        <w:ind w:left="6480" w:hanging="360"/>
      </w:pPr>
    </w:lvl>
  </w:abstractNum>
  <w:abstractNum w:abstractNumId="4" w15:restartNumberingAfterBreak="0">
    <w:nsid w:val="746C2A7A"/>
    <w:multiLevelType w:val="hybridMultilevel"/>
    <w:tmpl w:val="A76A0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DB"/>
    <w:rsid w:val="002512F4"/>
    <w:rsid w:val="002823DB"/>
    <w:rsid w:val="002923AD"/>
    <w:rsid w:val="002F5580"/>
    <w:rsid w:val="00543E0E"/>
    <w:rsid w:val="00620770"/>
    <w:rsid w:val="0063498C"/>
    <w:rsid w:val="006E43EE"/>
    <w:rsid w:val="007000DF"/>
    <w:rsid w:val="00897F85"/>
    <w:rsid w:val="008D7F36"/>
    <w:rsid w:val="00932DA7"/>
    <w:rsid w:val="009D2925"/>
    <w:rsid w:val="00A45456"/>
    <w:rsid w:val="00AE5E2C"/>
    <w:rsid w:val="00B13051"/>
    <w:rsid w:val="00B612CE"/>
    <w:rsid w:val="00BC2E22"/>
    <w:rsid w:val="00BE671D"/>
    <w:rsid w:val="00D62BC6"/>
    <w:rsid w:val="00E12144"/>
    <w:rsid w:val="00EA17EF"/>
    <w:rsid w:val="00E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17C11"/>
  <w15:chartTrackingRefBased/>
  <w15:docId w15:val="{C2616C23-AF86-4814-BD87-7487B9B8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3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3DB"/>
    <w:pPr>
      <w:spacing w:line="254" w:lineRule="auto"/>
      <w:ind w:left="720"/>
      <w:contextualSpacing/>
    </w:pPr>
  </w:style>
  <w:style w:type="table" w:styleId="TableGrid">
    <w:name w:val="Table Grid"/>
    <w:basedOn w:val="TableNormal"/>
    <w:uiPriority w:val="39"/>
    <w:rsid w:val="00E12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0DF"/>
  </w:style>
  <w:style w:type="paragraph" w:styleId="Footer">
    <w:name w:val="footer"/>
    <w:basedOn w:val="Normal"/>
    <w:link w:val="FooterChar"/>
    <w:uiPriority w:val="99"/>
    <w:unhideWhenUsed/>
    <w:rsid w:val="0070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033412">
      <w:bodyDiv w:val="1"/>
      <w:marLeft w:val="0"/>
      <w:marRight w:val="0"/>
      <w:marTop w:val="0"/>
      <w:marBottom w:val="0"/>
      <w:divBdr>
        <w:top w:val="none" w:sz="0" w:space="0" w:color="auto"/>
        <w:left w:val="none" w:sz="0" w:space="0" w:color="auto"/>
        <w:bottom w:val="none" w:sz="0" w:space="0" w:color="auto"/>
        <w:right w:val="none" w:sz="0" w:space="0" w:color="auto"/>
      </w:divBdr>
    </w:div>
    <w:div w:id="1364865630">
      <w:bodyDiv w:val="1"/>
      <w:marLeft w:val="0"/>
      <w:marRight w:val="0"/>
      <w:marTop w:val="0"/>
      <w:marBottom w:val="0"/>
      <w:divBdr>
        <w:top w:val="none" w:sz="0" w:space="0" w:color="auto"/>
        <w:left w:val="none" w:sz="0" w:space="0" w:color="auto"/>
        <w:bottom w:val="none" w:sz="0" w:space="0" w:color="auto"/>
        <w:right w:val="none" w:sz="0" w:space="0" w:color="auto"/>
      </w:divBdr>
    </w:div>
    <w:div w:id="1392775569">
      <w:bodyDiv w:val="1"/>
      <w:marLeft w:val="0"/>
      <w:marRight w:val="0"/>
      <w:marTop w:val="0"/>
      <w:marBottom w:val="0"/>
      <w:divBdr>
        <w:top w:val="none" w:sz="0" w:space="0" w:color="auto"/>
        <w:left w:val="none" w:sz="0" w:space="0" w:color="auto"/>
        <w:bottom w:val="none" w:sz="0" w:space="0" w:color="auto"/>
        <w:right w:val="none" w:sz="0" w:space="0" w:color="auto"/>
      </w:divBdr>
      <w:divsChild>
        <w:div w:id="1878854215">
          <w:marLeft w:val="806"/>
          <w:marRight w:val="0"/>
          <w:marTop w:val="200"/>
          <w:marBottom w:val="0"/>
          <w:divBdr>
            <w:top w:val="none" w:sz="0" w:space="0" w:color="auto"/>
            <w:left w:val="none" w:sz="0" w:space="0" w:color="auto"/>
            <w:bottom w:val="none" w:sz="0" w:space="0" w:color="auto"/>
            <w:right w:val="none" w:sz="0" w:space="0" w:color="auto"/>
          </w:divBdr>
        </w:div>
        <w:div w:id="924731264">
          <w:marLeft w:val="806"/>
          <w:marRight w:val="0"/>
          <w:marTop w:val="200"/>
          <w:marBottom w:val="0"/>
          <w:divBdr>
            <w:top w:val="none" w:sz="0" w:space="0" w:color="auto"/>
            <w:left w:val="none" w:sz="0" w:space="0" w:color="auto"/>
            <w:bottom w:val="none" w:sz="0" w:space="0" w:color="auto"/>
            <w:right w:val="none" w:sz="0" w:space="0" w:color="auto"/>
          </w:divBdr>
        </w:div>
        <w:div w:id="513571065">
          <w:marLeft w:val="806"/>
          <w:marRight w:val="0"/>
          <w:marTop w:val="200"/>
          <w:marBottom w:val="0"/>
          <w:divBdr>
            <w:top w:val="none" w:sz="0" w:space="0" w:color="auto"/>
            <w:left w:val="none" w:sz="0" w:space="0" w:color="auto"/>
            <w:bottom w:val="none" w:sz="0" w:space="0" w:color="auto"/>
            <w:right w:val="none" w:sz="0" w:space="0" w:color="auto"/>
          </w:divBdr>
        </w:div>
        <w:div w:id="677775225">
          <w:marLeft w:val="806"/>
          <w:marRight w:val="0"/>
          <w:marTop w:val="200"/>
          <w:marBottom w:val="0"/>
          <w:divBdr>
            <w:top w:val="none" w:sz="0" w:space="0" w:color="auto"/>
            <w:left w:val="none" w:sz="0" w:space="0" w:color="auto"/>
            <w:bottom w:val="none" w:sz="0" w:space="0" w:color="auto"/>
            <w:right w:val="none" w:sz="0" w:space="0" w:color="auto"/>
          </w:divBdr>
        </w:div>
        <w:div w:id="810512725">
          <w:marLeft w:val="806"/>
          <w:marRight w:val="0"/>
          <w:marTop w:val="200"/>
          <w:marBottom w:val="0"/>
          <w:divBdr>
            <w:top w:val="none" w:sz="0" w:space="0" w:color="auto"/>
            <w:left w:val="none" w:sz="0" w:space="0" w:color="auto"/>
            <w:bottom w:val="none" w:sz="0" w:space="0" w:color="auto"/>
            <w:right w:val="none" w:sz="0" w:space="0" w:color="auto"/>
          </w:divBdr>
        </w:div>
        <w:div w:id="45035262">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5571C-79AB-4A82-A396-379096ACD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Forest Service</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Claggett, Sally -FS</dc:creator>
  <cp:keywords/>
  <dc:description/>
  <cp:lastModifiedBy>Claggett, Sally -FS</cp:lastModifiedBy>
  <cp:revision>2</cp:revision>
  <dcterms:created xsi:type="dcterms:W3CDTF">2020-11-02T14:23:00Z</dcterms:created>
  <dcterms:modified xsi:type="dcterms:W3CDTF">2020-11-03T23:01:00Z</dcterms:modified>
</cp:coreProperties>
</file>