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92" w:rsidRDefault="00F94F05" w:rsidP="00FC7B81">
      <w:pPr>
        <w:pStyle w:val="Normal1"/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Principals’ Staff Committee </w:t>
      </w:r>
    </w:p>
    <w:p w:rsidR="00F94F05" w:rsidRDefault="00F94F05" w:rsidP="00FC7B81">
      <w:pPr>
        <w:pStyle w:val="Normal1"/>
        <w:spacing w:after="0"/>
        <w:jc w:val="center"/>
        <w:rPr>
          <w:b/>
          <w:sz w:val="32"/>
        </w:rPr>
      </w:pPr>
      <w:r>
        <w:rPr>
          <w:b/>
          <w:sz w:val="32"/>
        </w:rPr>
        <w:t>Actions and Decisions</w:t>
      </w:r>
      <w:r w:rsidR="00DF1964">
        <w:rPr>
          <w:b/>
          <w:sz w:val="32"/>
        </w:rPr>
        <w:t xml:space="preserve"> on IRC and GIT Recommendations</w:t>
      </w:r>
    </w:p>
    <w:p w:rsidR="00F94F05" w:rsidRDefault="00F94F05" w:rsidP="00FC7B81">
      <w:pPr>
        <w:pStyle w:val="Normal1"/>
        <w:spacing w:after="0"/>
        <w:jc w:val="center"/>
        <w:rPr>
          <w:b/>
          <w:sz w:val="32"/>
        </w:rPr>
      </w:pPr>
      <w:r>
        <w:rPr>
          <w:b/>
          <w:sz w:val="32"/>
        </w:rPr>
        <w:t>April 13 &amp; 14, 2014 Retreat</w:t>
      </w:r>
    </w:p>
    <w:p w:rsidR="005F5C5C" w:rsidRDefault="005F5C5C" w:rsidP="00FC7B81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5C5C" w:rsidTr="00605DA6">
        <w:trPr>
          <w:trHeight w:val="1367"/>
        </w:trPr>
        <w:tc>
          <w:tcPr>
            <w:tcW w:w="9630" w:type="dxa"/>
            <w:tcBorders>
              <w:bottom w:val="single" w:sz="4" w:space="0" w:color="auto"/>
            </w:tcBorders>
          </w:tcPr>
          <w:p w:rsidR="00605DA6" w:rsidRPr="00605DA6" w:rsidRDefault="005F5C5C" w:rsidP="00605DA6">
            <w:pPr>
              <w:spacing w:after="0"/>
              <w:ind w:left="201"/>
              <w:rPr>
                <w:sz w:val="28"/>
                <w:szCs w:val="24"/>
              </w:rPr>
            </w:pPr>
            <w:r w:rsidRPr="00605DA6">
              <w:rPr>
                <w:sz w:val="28"/>
                <w:szCs w:val="24"/>
              </w:rPr>
              <w:t>Color Key:</w:t>
            </w:r>
          </w:p>
          <w:p w:rsidR="00605DA6" w:rsidRDefault="00605DA6" w:rsidP="00605DA6">
            <w:pPr>
              <w:spacing w:after="0"/>
              <w:ind w:left="201"/>
            </w:pPr>
            <w:r w:rsidRPr="00605DA6">
              <w:rPr>
                <w:sz w:val="24"/>
                <w:szCs w:val="24"/>
                <w:highlight w:val="green"/>
              </w:rPr>
              <w:t>Green</w:t>
            </w:r>
            <w:r w:rsidRPr="00867A96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– </w:t>
            </w:r>
            <w:r>
              <w:t xml:space="preserve">PSC approved; no need to revisit </w:t>
            </w:r>
          </w:p>
          <w:p w:rsidR="00605DA6" w:rsidRDefault="00605DA6" w:rsidP="00605DA6">
            <w:pPr>
              <w:spacing w:after="0"/>
              <w:ind w:left="201"/>
            </w:pPr>
            <w:r w:rsidRPr="00605DA6">
              <w:rPr>
                <w:sz w:val="24"/>
                <w:szCs w:val="24"/>
                <w:highlight w:val="cyan"/>
              </w:rPr>
              <w:t>Blue</w:t>
            </w:r>
            <w:r w:rsidRPr="00867A96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- </w:t>
            </w:r>
            <w:r>
              <w:t>general PSC approval, but need one or two signatories sign off</w:t>
            </w:r>
          </w:p>
          <w:p w:rsidR="00605DA6" w:rsidRDefault="00605DA6" w:rsidP="00605DA6">
            <w:pPr>
              <w:spacing w:after="0"/>
              <w:ind w:left="201"/>
            </w:pPr>
            <w:r w:rsidRPr="00867A96">
              <w:rPr>
                <w:highlight w:val="yellow"/>
              </w:rPr>
              <w:t>Yellow</w:t>
            </w:r>
            <w:r>
              <w:t xml:space="preserve"> – additional work needed; bring back to PSC for further consideration</w:t>
            </w:r>
          </w:p>
          <w:p w:rsidR="00605DA6" w:rsidRDefault="00605DA6" w:rsidP="00605DA6">
            <w:pPr>
              <w:spacing w:after="0"/>
              <w:ind w:left="201"/>
            </w:pPr>
            <w:r w:rsidRPr="00605DA6">
              <w:rPr>
                <w:color w:val="00B050"/>
              </w:rPr>
              <w:t>Suggested language edits/addition</w:t>
            </w:r>
            <w:r>
              <w:t>s</w:t>
            </w:r>
          </w:p>
          <w:p w:rsidR="00605DA6" w:rsidRPr="003C41D8" w:rsidRDefault="00605DA6" w:rsidP="00605DA6">
            <w:pPr>
              <w:spacing w:after="0"/>
              <w:ind w:left="201"/>
              <w:rPr>
                <w:b/>
                <w:sz w:val="24"/>
                <w:szCs w:val="24"/>
              </w:rPr>
            </w:pPr>
            <w:r w:rsidRPr="00605DA6">
              <w:rPr>
                <w:color w:val="FF0000"/>
              </w:rPr>
              <w:t>Suggested deletions</w:t>
            </w:r>
            <w:r>
              <w:rPr>
                <w:color w:val="FF0000"/>
              </w:rPr>
              <w:t xml:space="preserve">: </w:t>
            </w:r>
            <w:r w:rsidRPr="00605DA6">
              <w:rPr>
                <w:strike/>
                <w:color w:val="FF0000"/>
              </w:rPr>
              <w:t>strikethrough</w:t>
            </w: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80"/>
        <w:gridCol w:w="5803"/>
        <w:gridCol w:w="1161"/>
        <w:gridCol w:w="2324"/>
        <w:gridCol w:w="3748"/>
      </w:tblGrid>
      <w:tr w:rsidR="00664DD1" w:rsidTr="00664DD1">
        <w:trPr>
          <w:jc w:val="center"/>
        </w:trPr>
        <w:tc>
          <w:tcPr>
            <w:tcW w:w="3718" w:type="pct"/>
            <w:gridSpan w:val="4"/>
          </w:tcPr>
          <w:p w:rsidR="00664DD1" w:rsidRPr="00917628" w:rsidRDefault="00664DD1" w:rsidP="00844CE9">
            <w:pPr>
              <w:rPr>
                <w:b/>
                <w:color w:val="C00000"/>
              </w:rPr>
            </w:pPr>
            <w:r w:rsidRPr="0035336B">
              <w:rPr>
                <w:b/>
                <w:color w:val="C00000"/>
                <w:sz w:val="28"/>
              </w:rPr>
              <w:t>BIN #2</w:t>
            </w:r>
            <w:r>
              <w:rPr>
                <w:b/>
                <w:color w:val="C00000"/>
                <w:sz w:val="28"/>
              </w:rPr>
              <w:t xml:space="preserve"> Issues</w:t>
            </w:r>
          </w:p>
        </w:tc>
        <w:tc>
          <w:tcPr>
            <w:tcW w:w="1282" w:type="pct"/>
          </w:tcPr>
          <w:p w:rsidR="00664DD1" w:rsidRPr="0035336B" w:rsidRDefault="00664DD1" w:rsidP="00844CE9">
            <w:pPr>
              <w:rPr>
                <w:b/>
                <w:color w:val="C00000"/>
                <w:sz w:val="28"/>
              </w:rPr>
            </w:pPr>
          </w:p>
        </w:tc>
      </w:tr>
      <w:tr w:rsidR="00DA4E5E" w:rsidRPr="00312EE3" w:rsidTr="00DA4E5E">
        <w:trPr>
          <w:jc w:val="center"/>
        </w:trPr>
        <w:tc>
          <w:tcPr>
            <w:tcW w:w="5000" w:type="pct"/>
            <w:gridSpan w:val="5"/>
          </w:tcPr>
          <w:p w:rsidR="00DA4E5E" w:rsidRPr="00531093" w:rsidRDefault="00DA4E5E" w:rsidP="00CE56D7">
            <w:pPr>
              <w:rPr>
                <w:b/>
              </w:rPr>
            </w:pPr>
            <w:r w:rsidRPr="00531093">
              <w:rPr>
                <w:b/>
              </w:rPr>
              <w:t>Fisheries Goal Team</w:t>
            </w:r>
            <w:r>
              <w:t xml:space="preserve"> </w:t>
            </w:r>
          </w:p>
        </w:tc>
      </w:tr>
      <w:tr w:rsidR="00DA4E5E" w:rsidRPr="00312EE3" w:rsidTr="00DA4E5E">
        <w:trPr>
          <w:jc w:val="center"/>
        </w:trPr>
        <w:tc>
          <w:tcPr>
            <w:tcW w:w="2923" w:type="pct"/>
            <w:gridSpan w:val="3"/>
          </w:tcPr>
          <w:p w:rsidR="00DA4E5E" w:rsidRPr="00531093" w:rsidRDefault="00DA4E5E" w:rsidP="00CE56D7">
            <w:pPr>
              <w:rPr>
                <w:b/>
              </w:rPr>
            </w:pPr>
          </w:p>
        </w:tc>
        <w:tc>
          <w:tcPr>
            <w:tcW w:w="795" w:type="pct"/>
          </w:tcPr>
          <w:p w:rsidR="00DA4E5E" w:rsidRPr="00531093" w:rsidRDefault="00DA4E5E" w:rsidP="00CE56D7">
            <w:pPr>
              <w:rPr>
                <w:b/>
              </w:rPr>
            </w:pPr>
            <w:r>
              <w:rPr>
                <w:b/>
              </w:rPr>
              <w:t>PSC Decision</w:t>
            </w:r>
          </w:p>
        </w:tc>
        <w:tc>
          <w:tcPr>
            <w:tcW w:w="1282" w:type="pct"/>
          </w:tcPr>
          <w:p w:rsidR="00DA4E5E" w:rsidRDefault="00DA4E5E" w:rsidP="00CE56D7">
            <w:pPr>
              <w:rPr>
                <w:b/>
              </w:rPr>
            </w:pPr>
            <w:r>
              <w:rPr>
                <w:b/>
              </w:rPr>
              <w:t>Ex Comm Consideration-4/21 Call</w:t>
            </w:r>
          </w:p>
        </w:tc>
      </w:tr>
      <w:tr w:rsidR="00664DD1" w:rsidTr="00DD2620">
        <w:trPr>
          <w:trHeight w:val="1070"/>
          <w:jc w:val="center"/>
        </w:trPr>
        <w:tc>
          <w:tcPr>
            <w:tcW w:w="541" w:type="pct"/>
          </w:tcPr>
          <w:p w:rsidR="00664DD1" w:rsidRPr="00312EE3" w:rsidRDefault="00664DD1" w:rsidP="00CE56D7">
            <w:r>
              <w:t>Introduction</w:t>
            </w:r>
          </w:p>
        </w:tc>
        <w:tc>
          <w:tcPr>
            <w:tcW w:w="1985" w:type="pct"/>
          </w:tcPr>
          <w:p w:rsidR="00664DD1" w:rsidRPr="0000356A" w:rsidRDefault="00664DD1" w:rsidP="00CE56D7">
            <w:pPr>
              <w:rPr>
                <w:rFonts w:ascii="Calibri" w:eastAsia="Calibri" w:hAnsi="Calibri" w:cs="Calibri"/>
                <w:color w:val="000000"/>
                <w:spacing w:val="-1"/>
              </w:rPr>
            </w:pPr>
            <w:r w:rsidRPr="00700B8A">
              <w:rPr>
                <w:i/>
                <w:u w:val="single"/>
              </w:rPr>
              <w:t>Revised</w:t>
            </w:r>
            <w:r>
              <w:rPr>
                <w:i/>
              </w:rPr>
              <w:t xml:space="preserve">:  </w:t>
            </w:r>
            <w:r w:rsidRPr="00431AFC">
              <w:rPr>
                <w:rFonts w:cstheme="minorHAnsi"/>
                <w:iCs/>
                <w:sz w:val="24"/>
                <w:szCs w:val="24"/>
              </w:rPr>
              <w:t>“</w:t>
            </w:r>
            <w:r w:rsidRPr="00700B8A">
              <w:rPr>
                <w:rFonts w:ascii="Calibri"/>
              </w:rPr>
              <w:t>Habitat loss, poor water quality</w:t>
            </w:r>
            <w:r w:rsidRPr="00431AFC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Pr="00431AFC">
              <w:rPr>
                <w:rFonts w:cstheme="minorHAnsi"/>
                <w:iCs/>
                <w:color w:val="00B050"/>
                <w:sz w:val="24"/>
                <w:szCs w:val="24"/>
              </w:rPr>
              <w:t>non-native and invasive species</w:t>
            </w:r>
            <w:r>
              <w:rPr>
                <w:rFonts w:cstheme="minorHAnsi"/>
                <w:iCs/>
                <w:color w:val="00B050"/>
                <w:sz w:val="24"/>
                <w:szCs w:val="24"/>
              </w:rPr>
              <w:t>, toxics</w:t>
            </w:r>
            <w:r w:rsidRPr="00431AFC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700B8A">
              <w:rPr>
                <w:rFonts w:ascii="Calibri"/>
              </w:rPr>
              <w:t>and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700B8A">
              <w:rPr>
                <w:rFonts w:ascii="Calibri"/>
              </w:rPr>
              <w:t>fishing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700B8A">
              <w:rPr>
                <w:rFonts w:ascii="Calibri"/>
              </w:rPr>
              <w:t>pressure continue to threaten the sustainability of the Chesapeake Bay's fisheries. Sustaining fish and shellfish populations contributes to a strong economy and maritime culture and supports a healthy ecosystem for all Bay watershed residents.”</w:t>
            </w:r>
          </w:p>
        </w:tc>
        <w:tc>
          <w:tcPr>
            <w:tcW w:w="397" w:type="pct"/>
          </w:tcPr>
          <w:p w:rsidR="00664DD1" w:rsidRPr="00312EE3" w:rsidRDefault="00664DD1" w:rsidP="00CE56D7">
            <w:pPr>
              <w:jc w:val="center"/>
            </w:pPr>
            <w:r>
              <w:t>4/14/14</w:t>
            </w:r>
          </w:p>
        </w:tc>
        <w:tc>
          <w:tcPr>
            <w:tcW w:w="795" w:type="pct"/>
          </w:tcPr>
          <w:p w:rsidR="00664DD1" w:rsidRPr="00312EE3" w:rsidRDefault="00664DD1" w:rsidP="00CE56D7">
            <w:pPr>
              <w:jc w:val="center"/>
            </w:pPr>
            <w:r w:rsidRPr="00BE743A">
              <w:rPr>
                <w:highlight w:val="green"/>
              </w:rPr>
              <w:t>Agreed</w:t>
            </w:r>
          </w:p>
        </w:tc>
        <w:tc>
          <w:tcPr>
            <w:tcW w:w="1282" w:type="pct"/>
          </w:tcPr>
          <w:p w:rsidR="002D5E24" w:rsidRPr="00BE743A" w:rsidRDefault="002D5E24" w:rsidP="002D5E24">
            <w:pPr>
              <w:rPr>
                <w:highlight w:val="green"/>
              </w:rPr>
            </w:pPr>
          </w:p>
        </w:tc>
      </w:tr>
      <w:tr w:rsidR="00664DD1" w:rsidTr="00DD2620">
        <w:trPr>
          <w:trHeight w:val="1430"/>
          <w:jc w:val="center"/>
        </w:trPr>
        <w:tc>
          <w:tcPr>
            <w:tcW w:w="541" w:type="pct"/>
          </w:tcPr>
          <w:p w:rsidR="00664DD1" w:rsidRDefault="00664DD1" w:rsidP="00CE56D7">
            <w:r>
              <w:t>Blue Crab Abundance Outcome</w:t>
            </w:r>
          </w:p>
        </w:tc>
        <w:tc>
          <w:tcPr>
            <w:tcW w:w="1985" w:type="pct"/>
          </w:tcPr>
          <w:p w:rsidR="004C0632" w:rsidRPr="004C0632" w:rsidRDefault="00664DD1" w:rsidP="004C0632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GIT 1 is considering adding a statement to the end of the existing outcome to explain how the abundance target is refined. </w:t>
            </w:r>
            <w:r w:rsidR="004C0632" w:rsidRPr="004C0632">
              <w:rPr>
                <w:rFonts w:ascii="Calibri"/>
              </w:rPr>
              <w:t>Maintain a sustainable blue crab population based on</w:t>
            </w:r>
          </w:p>
          <w:p w:rsidR="00664DD1" w:rsidRDefault="004C0632" w:rsidP="004C0632">
            <w:proofErr w:type="gramStart"/>
            <w:r w:rsidRPr="004C0632">
              <w:rPr>
                <w:rFonts w:ascii="Calibri"/>
              </w:rPr>
              <w:t>the</w:t>
            </w:r>
            <w:proofErr w:type="gramEnd"/>
            <w:r w:rsidRPr="004C0632">
              <w:rPr>
                <w:rFonts w:ascii="Calibri"/>
              </w:rPr>
              <w:t xml:space="preserve"> current 2012 target of 215 million adult females and continue to refine population targets through 2025 based on best available science</w:t>
            </w:r>
            <w:r w:rsidRPr="004C0632">
              <w:rPr>
                <w:rFonts w:ascii="Calibri"/>
                <w:color w:val="00B050"/>
              </w:rPr>
              <w:t xml:space="preserve"> </w:t>
            </w:r>
            <w:r w:rsidR="00664DD1" w:rsidRPr="00611316">
              <w:rPr>
                <w:rFonts w:ascii="Calibri"/>
                <w:color w:val="00B050"/>
              </w:rPr>
              <w:t>“</w:t>
            </w:r>
            <w:r w:rsidRPr="004C0632">
              <w:rPr>
                <w:b/>
                <w:color w:val="00B050"/>
              </w:rPr>
              <w:t>Evaluate and refine the population target based on baywide stock assessments that are conducted approximately every five years as resources are available</w:t>
            </w:r>
            <w:r w:rsidR="00664DD1" w:rsidRPr="009C1731">
              <w:rPr>
                <w:rFonts w:ascii="Calibri"/>
                <w:color w:val="00B050"/>
              </w:rPr>
              <w:t>.”</w:t>
            </w:r>
            <w:r w:rsidR="00664DD1">
              <w:rPr>
                <w:rFonts w:ascii="Calibri"/>
                <w:color w:val="00B050"/>
              </w:rPr>
              <w:t xml:space="preserve"> </w:t>
            </w:r>
            <w:r w:rsidR="00664DD1" w:rsidRPr="00786CE3">
              <w:rPr>
                <w:rFonts w:ascii="Calibri"/>
                <w:i/>
                <w:color w:val="00B050"/>
              </w:rPr>
              <w:t>(draft)</w:t>
            </w:r>
          </w:p>
        </w:tc>
        <w:tc>
          <w:tcPr>
            <w:tcW w:w="397" w:type="pct"/>
          </w:tcPr>
          <w:p w:rsidR="00664DD1" w:rsidRPr="00312EE3" w:rsidRDefault="00664DD1" w:rsidP="00CE56D7">
            <w:pPr>
              <w:jc w:val="center"/>
            </w:pPr>
            <w:r>
              <w:t>4/14/14</w:t>
            </w:r>
          </w:p>
        </w:tc>
        <w:tc>
          <w:tcPr>
            <w:tcW w:w="795" w:type="pct"/>
          </w:tcPr>
          <w:p w:rsidR="00664DD1" w:rsidRPr="00312EE3" w:rsidRDefault="00664DD1" w:rsidP="00CE56D7">
            <w:pPr>
              <w:jc w:val="center"/>
            </w:pPr>
            <w:r w:rsidRPr="0000356A">
              <w:rPr>
                <w:highlight w:val="yellow"/>
              </w:rPr>
              <w:t>Sending back to GIT to consider adding language to management strategies rather than the outcome.</w:t>
            </w:r>
          </w:p>
        </w:tc>
        <w:tc>
          <w:tcPr>
            <w:tcW w:w="1282" w:type="pct"/>
          </w:tcPr>
          <w:p w:rsidR="004C0632" w:rsidRPr="004C0632" w:rsidRDefault="004C0632" w:rsidP="002D5E24">
            <w:r>
              <w:t>Does Ex Comm agree with PSC recommendation to not include additional language in outcome?</w:t>
            </w:r>
          </w:p>
          <w:p w:rsidR="004C0632" w:rsidRDefault="004C0632" w:rsidP="002D5E24">
            <w:pPr>
              <w:rPr>
                <w:i/>
              </w:rPr>
            </w:pPr>
          </w:p>
          <w:p w:rsidR="0008125B" w:rsidRPr="0008125B" w:rsidRDefault="00843918" w:rsidP="002D5E2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08125B" w:rsidRPr="0008125B">
              <w:rPr>
                <w:i/>
              </w:rPr>
              <w:t>“Evaluate and refine the population target based on baywide stock assessments that are conducted approximately every five years as resources are available.”</w:t>
            </w:r>
          </w:p>
          <w:p w:rsidR="00664DD1" w:rsidRPr="0000356A" w:rsidRDefault="00664DD1" w:rsidP="002D5E24">
            <w:pPr>
              <w:rPr>
                <w:highlight w:val="yellow"/>
              </w:rPr>
            </w:pPr>
          </w:p>
        </w:tc>
      </w:tr>
      <w:tr w:rsidR="00664DD1" w:rsidTr="00DD2620">
        <w:trPr>
          <w:trHeight w:val="1763"/>
          <w:jc w:val="center"/>
        </w:trPr>
        <w:tc>
          <w:tcPr>
            <w:tcW w:w="541" w:type="pct"/>
          </w:tcPr>
          <w:p w:rsidR="00664DD1" w:rsidRDefault="00664DD1" w:rsidP="00CE56D7">
            <w:r>
              <w:lastRenderedPageBreak/>
              <w:t>Blue Crab Management Outcome</w:t>
            </w:r>
          </w:p>
        </w:tc>
        <w:tc>
          <w:tcPr>
            <w:tcW w:w="1985" w:type="pct"/>
          </w:tcPr>
          <w:p w:rsidR="00664DD1" w:rsidRPr="00215230" w:rsidRDefault="00664DD1" w:rsidP="00CE56D7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00B8A">
              <w:rPr>
                <w:i/>
                <w:u w:val="single"/>
              </w:rPr>
              <w:t>Revised</w:t>
            </w:r>
            <w:r>
              <w:rPr>
                <w:i/>
              </w:rPr>
              <w:t xml:space="preserve">:  </w:t>
            </w:r>
            <w:r>
              <w:rPr>
                <w:rFonts w:cstheme="minorHAnsi"/>
                <w:b/>
              </w:rPr>
              <w:t>“</w:t>
            </w:r>
            <w:r w:rsidRPr="00431AFC">
              <w:rPr>
                <w:rFonts w:cstheme="minorHAnsi"/>
                <w:b/>
              </w:rPr>
              <w:t>Blue Crab Management Outcome:</w:t>
            </w:r>
            <w:r w:rsidRPr="00431AFC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Cs/>
                <w:color w:val="00B050"/>
              </w:rPr>
              <w:t xml:space="preserve"> </w:t>
            </w:r>
            <w:r>
              <w:rPr>
                <w:rFonts w:cstheme="minorHAnsi"/>
              </w:rPr>
              <w:t>Im</w:t>
            </w:r>
            <w:r w:rsidRPr="00431AFC">
              <w:rPr>
                <w:rFonts w:cstheme="minorHAnsi"/>
              </w:rPr>
              <w:t xml:space="preserve">prove the ability to manage for a stable and productive crab </w:t>
            </w:r>
            <w:r w:rsidRPr="00431AFC">
              <w:rPr>
                <w:rFonts w:cstheme="minorHAnsi"/>
                <w:strike/>
                <w:color w:val="FF0000"/>
              </w:rPr>
              <w:t>population</w:t>
            </w:r>
            <w:r w:rsidRPr="00431AFC">
              <w:rPr>
                <w:rFonts w:cstheme="minorHAnsi"/>
                <w:color w:val="FF0000"/>
              </w:rPr>
              <w:t xml:space="preserve"> </w:t>
            </w:r>
            <w:r w:rsidRPr="00BA0ACC">
              <w:rPr>
                <w:rFonts w:cstheme="minorHAnsi"/>
                <w:strike/>
                <w:color w:val="FF0000"/>
              </w:rPr>
              <w:t>and</w:t>
            </w:r>
            <w:r w:rsidRPr="00431AFC">
              <w:rPr>
                <w:rFonts w:cstheme="minorHAnsi"/>
              </w:rPr>
              <w:t xml:space="preserve"> fishery by working with the industry, recreational crabbers, and other stakeholders to improve commercial and recreational harvest accountability. </w:t>
            </w:r>
            <w:r w:rsidRPr="00BA0ACC">
              <w:rPr>
                <w:rFonts w:ascii="Calibri"/>
                <w:b/>
                <w:color w:val="00B050"/>
              </w:rPr>
              <w:t>By 2018</w:t>
            </w:r>
            <w:r>
              <w:rPr>
                <w:rFonts w:cstheme="minorHAnsi"/>
              </w:rPr>
              <w:t xml:space="preserve">, </w:t>
            </w:r>
            <w:r w:rsidRPr="00BA0ACC">
              <w:rPr>
                <w:rFonts w:ascii="Calibri"/>
                <w:b/>
                <w:color w:val="00B050"/>
              </w:rPr>
              <w:t>e</w:t>
            </w:r>
            <w:r w:rsidRPr="00431AFC">
              <w:rPr>
                <w:rFonts w:cstheme="minorHAnsi"/>
              </w:rPr>
              <w:t xml:space="preserve">valuate the establishment of a Bay-wide, allocation-based management framework with annual levels set by the jurisdictions </w:t>
            </w:r>
            <w:r w:rsidRPr="00D75C3C">
              <w:rPr>
                <w:rFonts w:cstheme="minorHAnsi"/>
              </w:rPr>
              <w:t xml:space="preserve">that </w:t>
            </w:r>
            <w:r w:rsidRPr="00215230">
              <w:rPr>
                <w:rFonts w:cstheme="minorHAnsi"/>
                <w:strike/>
                <w:color w:val="FF0000"/>
              </w:rPr>
              <w:t>will provide stability for crabbing businesses and accountability of the harvest for each jurisdiction</w:t>
            </w:r>
            <w:r w:rsidRPr="00431AFC">
              <w:rPr>
                <w:rFonts w:cstheme="minorHAnsi"/>
              </w:rPr>
              <w:t>.”</w:t>
            </w:r>
            <w:r w:rsidR="00215230">
              <w:rPr>
                <w:rFonts w:cstheme="minorHAnsi"/>
              </w:rPr>
              <w:t xml:space="preserve"> </w:t>
            </w:r>
            <w:r w:rsidR="00215230">
              <w:rPr>
                <w:rFonts w:cstheme="minorHAnsi"/>
                <w:i/>
              </w:rPr>
              <w:t>See revised language</w:t>
            </w:r>
            <w:r w:rsidR="001575A7">
              <w:rPr>
                <w:rFonts w:cstheme="minorHAnsi"/>
                <w:i/>
              </w:rPr>
              <w:t xml:space="preserve"> options </w:t>
            </w:r>
            <w:r w:rsidR="00215230">
              <w:rPr>
                <w:rFonts w:cstheme="minorHAnsi"/>
                <w:i/>
              </w:rPr>
              <w:t xml:space="preserve"> in last column</w:t>
            </w:r>
            <w:r w:rsidR="00215230" w:rsidRPr="00215230">
              <w:rPr>
                <w:rFonts w:cstheme="minorHAnsi"/>
                <w:i/>
              </w:rPr>
              <w:sym w:font="Wingdings" w:char="F0E0"/>
            </w:r>
            <w:r w:rsidR="00215230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97" w:type="pct"/>
          </w:tcPr>
          <w:p w:rsidR="00664DD1" w:rsidRPr="00312EE3" w:rsidRDefault="00664DD1" w:rsidP="00CE56D7">
            <w:pPr>
              <w:jc w:val="center"/>
            </w:pPr>
            <w:r>
              <w:t>4/14/14</w:t>
            </w:r>
          </w:p>
        </w:tc>
        <w:tc>
          <w:tcPr>
            <w:tcW w:w="795" w:type="pct"/>
          </w:tcPr>
          <w:p w:rsidR="00664DD1" w:rsidRPr="00312EE3" w:rsidRDefault="00664DD1" w:rsidP="00CE56D7">
            <w:pPr>
              <w:jc w:val="center"/>
            </w:pPr>
            <w:r w:rsidRPr="00BE743A">
              <w:rPr>
                <w:highlight w:val="green"/>
              </w:rPr>
              <w:t>Agreed</w:t>
            </w:r>
          </w:p>
        </w:tc>
        <w:tc>
          <w:tcPr>
            <w:tcW w:w="1282" w:type="pct"/>
          </w:tcPr>
          <w:p w:rsidR="00843918" w:rsidRDefault="00843918" w:rsidP="002D5E24"/>
          <w:p w:rsidR="00843918" w:rsidRDefault="00843918" w:rsidP="002D5E24">
            <w:r>
              <w:t xml:space="preserve">DNR Suggestion: </w:t>
            </w:r>
            <w:r w:rsidRPr="00843918">
              <w:rPr>
                <w:i/>
              </w:rPr>
              <w:t xml:space="preserve">“…By 2018, evaluate </w:t>
            </w:r>
            <w:r w:rsidRPr="00843918">
              <w:rPr>
                <w:rFonts w:cstheme="minorHAnsi"/>
                <w:i/>
              </w:rPr>
              <w:t xml:space="preserve">the establishment of a Bay-wide, allocation-based management framework with annual levels set by the jurisdictions </w:t>
            </w:r>
            <w:r w:rsidRPr="00843918">
              <w:rPr>
                <w:rFonts w:cstheme="minorHAnsi"/>
                <w:i/>
                <w:u w:val="single"/>
              </w:rPr>
              <w:t>for the purpose of accounting for harvest by each jurisdiction</w:t>
            </w:r>
            <w:r w:rsidRPr="00843918">
              <w:rPr>
                <w:rFonts w:cstheme="minorHAnsi"/>
                <w:i/>
              </w:rPr>
              <w:t>.”</w:t>
            </w:r>
          </w:p>
          <w:p w:rsidR="00843918" w:rsidRDefault="00843918" w:rsidP="002D5E24"/>
          <w:p w:rsidR="00843918" w:rsidRDefault="00843918" w:rsidP="00843918">
            <w:r>
              <w:t xml:space="preserve">PRFC Suggestion: </w:t>
            </w:r>
            <w:r w:rsidRPr="00843918">
              <w:rPr>
                <w:i/>
              </w:rPr>
              <w:t xml:space="preserve">“…By 2018, evaluate </w:t>
            </w:r>
            <w:r w:rsidRPr="00843918">
              <w:rPr>
                <w:rFonts w:cstheme="minorHAnsi"/>
                <w:i/>
              </w:rPr>
              <w:t xml:space="preserve">the establishment of a Bay-wide, allocation-based management framework with annual levels set by the jurisdictions </w:t>
            </w:r>
            <w:r w:rsidRPr="00843918">
              <w:rPr>
                <w:rFonts w:cstheme="minorHAnsi"/>
                <w:i/>
                <w:u w:val="single"/>
              </w:rPr>
              <w:t>to strive for economic vitality and harvest accountability</w:t>
            </w:r>
            <w:r w:rsidRPr="00843918">
              <w:rPr>
                <w:rFonts w:cstheme="minorHAnsi"/>
                <w:i/>
              </w:rPr>
              <w:t>.”</w:t>
            </w:r>
          </w:p>
          <w:p w:rsidR="00843918" w:rsidRPr="00BE743A" w:rsidRDefault="00843918" w:rsidP="002D5E24">
            <w:pPr>
              <w:rPr>
                <w:highlight w:val="green"/>
              </w:rPr>
            </w:pPr>
          </w:p>
        </w:tc>
      </w:tr>
      <w:tr w:rsidR="00664DD1" w:rsidTr="00DD2620">
        <w:trPr>
          <w:trHeight w:val="2060"/>
          <w:jc w:val="center"/>
        </w:trPr>
        <w:tc>
          <w:tcPr>
            <w:tcW w:w="541" w:type="pct"/>
          </w:tcPr>
          <w:p w:rsidR="00664DD1" w:rsidRDefault="00664DD1" w:rsidP="00CE56D7">
            <w:r>
              <w:t>Oyster Outcome</w:t>
            </w:r>
          </w:p>
        </w:tc>
        <w:tc>
          <w:tcPr>
            <w:tcW w:w="1985" w:type="pct"/>
          </w:tcPr>
          <w:p w:rsidR="00664DD1" w:rsidRDefault="00664DD1" w:rsidP="00CE56D7">
            <w:pPr>
              <w:rPr>
                <w:rFonts w:ascii="Calibri"/>
              </w:rPr>
            </w:pPr>
            <w:r w:rsidRPr="00700B8A">
              <w:rPr>
                <w:rFonts w:ascii="Calibri"/>
                <w:i/>
                <w:u w:val="single"/>
              </w:rPr>
              <w:t>Revised</w:t>
            </w:r>
            <w:r w:rsidRPr="004A76D2">
              <w:rPr>
                <w:rFonts w:ascii="Calibri"/>
                <w:i/>
              </w:rPr>
              <w:t>:</w:t>
            </w:r>
            <w:r>
              <w:rPr>
                <w:rFonts w:ascii="Calibri,BoldItalic" w:hAnsi="Calibri,BoldItalic" w:cs="Calibri,BoldItalic"/>
                <w:bCs/>
                <w:iCs/>
              </w:rPr>
              <w:t xml:space="preserve">  </w:t>
            </w:r>
            <w:r w:rsidRPr="0000356A">
              <w:rPr>
                <w:rFonts w:ascii="Calibri,BoldItalic" w:hAnsi="Calibri,BoldItalic" w:cs="Calibri,BoldItalic"/>
                <w:b/>
                <w:bCs/>
                <w:i/>
                <w:iCs/>
              </w:rPr>
              <w:t>“</w:t>
            </w:r>
            <w:r w:rsidRPr="00BA0ACC">
              <w:rPr>
                <w:rFonts w:cstheme="minorHAnsi"/>
                <w:b/>
              </w:rPr>
              <w:t>Oyster Outcome</w:t>
            </w:r>
            <w:r w:rsidRPr="0000356A">
              <w:rPr>
                <w:rFonts w:ascii="Calibri" w:hAnsi="Calibri" w:cs="Calibri"/>
              </w:rPr>
              <w:t xml:space="preserve">: Restore native oyster habitat and populations in 10 tributaries by 2025 </w:t>
            </w:r>
            <w:r>
              <w:rPr>
                <w:rFonts w:ascii="Calibri" w:eastAsia="Calibri" w:hAnsi="Calibri" w:cs="Calibri"/>
                <w:b/>
                <w:bCs/>
                <w:color w:val="00AF5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1"/>
              </w:rPr>
              <w:t xml:space="preserve"> ensure their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1"/>
              </w:rPr>
              <w:t>protection</w:t>
            </w:r>
            <w:r w:rsidRPr="0000356A">
              <w:rPr>
                <w:rFonts w:ascii="Calibri" w:hAnsi="Calibri" w:cs="Calibri"/>
              </w:rPr>
              <w:t xml:space="preserve"> to recover</w:t>
            </w:r>
            <w:r>
              <w:rPr>
                <w:rFonts w:ascii="Calibri" w:hAnsi="Calibri" w:cs="Calibri"/>
              </w:rPr>
              <w:t xml:space="preserve"> </w:t>
            </w:r>
            <w:r w:rsidRPr="0000356A">
              <w:rPr>
                <w:rFonts w:ascii="Calibri" w:hAnsi="Calibri" w:cs="Calibri"/>
              </w:rPr>
              <w:t>the benefits of fish habitat and water quality improvements that healthy oyster reefs provide.”</w:t>
            </w:r>
          </w:p>
          <w:p w:rsidR="00664DD1" w:rsidRDefault="00664DD1" w:rsidP="00CE56D7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---------------------</w:t>
            </w:r>
          </w:p>
          <w:p w:rsidR="00664DD1" w:rsidRPr="00431AFC" w:rsidRDefault="00664DD1" w:rsidP="001575A7">
            <w:pPr>
              <w:rPr>
                <w:rFonts w:ascii="Calibri"/>
                <w:i/>
                <w:color w:val="00B050"/>
              </w:rPr>
            </w:pPr>
            <w:r>
              <w:rPr>
                <w:rFonts w:ascii="Calibri"/>
              </w:rPr>
              <w:t xml:space="preserve">GIT 1 is considering adding a statement to the end of the existing outcome to explain how restoration is measured. </w:t>
            </w:r>
            <w:r w:rsidRPr="009C1731">
              <w:rPr>
                <w:rFonts w:ascii="Calibri"/>
                <w:b/>
                <w:color w:val="00B050"/>
              </w:rPr>
              <w:t>“</w:t>
            </w:r>
            <w:r w:rsidR="001575A7" w:rsidRPr="001575A7">
              <w:rPr>
                <w:b/>
                <w:i/>
                <w:color w:val="00B050"/>
              </w:rPr>
              <w:t>Utilize the Oyster Metrics adopted by the Chesapeake Bay Program’s Sustainable Fisheries Goal Implementation Team to define restoration success.”</w:t>
            </w:r>
            <w:r w:rsidRPr="001575A7">
              <w:rPr>
                <w:rFonts w:ascii="Calibri"/>
                <w:b/>
                <w:color w:val="00B050"/>
              </w:rPr>
              <w:t xml:space="preserve">.” </w:t>
            </w:r>
            <w:r w:rsidRPr="00786CE3">
              <w:rPr>
                <w:rFonts w:ascii="Calibri"/>
                <w:i/>
                <w:color w:val="00B050"/>
              </w:rPr>
              <w:t>(draft)</w:t>
            </w:r>
          </w:p>
        </w:tc>
        <w:tc>
          <w:tcPr>
            <w:tcW w:w="397" w:type="pct"/>
          </w:tcPr>
          <w:p w:rsidR="00664DD1" w:rsidRPr="00312EE3" w:rsidRDefault="00664DD1" w:rsidP="00CC2E65">
            <w:pPr>
              <w:jc w:val="center"/>
            </w:pPr>
            <w:r>
              <w:t>4/14/14</w:t>
            </w:r>
          </w:p>
        </w:tc>
        <w:tc>
          <w:tcPr>
            <w:tcW w:w="795" w:type="pct"/>
          </w:tcPr>
          <w:p w:rsidR="00664DD1" w:rsidRPr="00BE743A" w:rsidRDefault="00664DD1" w:rsidP="00CE56D7">
            <w:pPr>
              <w:jc w:val="center"/>
              <w:rPr>
                <w:highlight w:val="green"/>
              </w:rPr>
            </w:pPr>
            <w:r w:rsidRPr="00BE743A">
              <w:rPr>
                <w:highlight w:val="green"/>
              </w:rPr>
              <w:t>Agreed to first part</w:t>
            </w:r>
          </w:p>
          <w:p w:rsidR="00664DD1" w:rsidRDefault="00664DD1" w:rsidP="00CE56D7">
            <w:pPr>
              <w:jc w:val="center"/>
            </w:pPr>
            <w:r>
              <w:t>--------------</w:t>
            </w:r>
          </w:p>
          <w:p w:rsidR="00664DD1" w:rsidRPr="00312EE3" w:rsidRDefault="00664DD1" w:rsidP="00CE56D7">
            <w:pPr>
              <w:jc w:val="center"/>
            </w:pPr>
            <w:r w:rsidRPr="00BE743A">
              <w:rPr>
                <w:highlight w:val="green"/>
              </w:rPr>
              <w:t>Agreed in concept, but</w:t>
            </w:r>
            <w:r>
              <w:rPr>
                <w:color w:val="00B050"/>
              </w:rPr>
              <w:t xml:space="preserve"> </w:t>
            </w:r>
            <w:r w:rsidRPr="00EE3256">
              <w:rPr>
                <w:highlight w:val="yellow"/>
              </w:rPr>
              <w:t>consider adding language to management strategies rather than the outcome.</w:t>
            </w:r>
          </w:p>
        </w:tc>
        <w:tc>
          <w:tcPr>
            <w:tcW w:w="1282" w:type="pct"/>
          </w:tcPr>
          <w:p w:rsidR="001575A7" w:rsidRPr="004C0632" w:rsidRDefault="001575A7" w:rsidP="001575A7">
            <w:r>
              <w:t>Does Ex Comm agree with PSC recommendation to not include additional language in outcome?</w:t>
            </w:r>
          </w:p>
          <w:p w:rsidR="001575A7" w:rsidRDefault="001575A7" w:rsidP="00210B1E"/>
          <w:p w:rsidR="00210B1E" w:rsidRPr="00BE743A" w:rsidRDefault="001575A7" w:rsidP="00210B1E">
            <w:pPr>
              <w:rPr>
                <w:highlight w:val="green"/>
              </w:rPr>
            </w:pPr>
            <w:r>
              <w:t>“</w:t>
            </w:r>
            <w:r w:rsidR="00210B1E" w:rsidRPr="00210B1E">
              <w:rPr>
                <w:i/>
              </w:rPr>
              <w:t>Utilize the Oyster Metrics adopted by the Chesapeake Bay Program’s Sustainable Fisheries Goal Implementation Team to define restoration success.”</w:t>
            </w:r>
            <w:r w:rsidR="00210B1E">
              <w:t xml:space="preserve"> </w:t>
            </w:r>
          </w:p>
        </w:tc>
      </w:tr>
      <w:tr w:rsidR="00664DD1" w:rsidTr="00DD2620">
        <w:trPr>
          <w:jc w:val="center"/>
        </w:trPr>
        <w:tc>
          <w:tcPr>
            <w:tcW w:w="541" w:type="pct"/>
          </w:tcPr>
          <w:p w:rsidR="00664DD1" w:rsidRDefault="00664DD1" w:rsidP="00CE56D7">
            <w:r>
              <w:t>Fish Habitat Outcome</w:t>
            </w:r>
          </w:p>
        </w:tc>
        <w:tc>
          <w:tcPr>
            <w:tcW w:w="1985" w:type="pct"/>
          </w:tcPr>
          <w:p w:rsidR="00664DD1" w:rsidRPr="002A20B7" w:rsidRDefault="00664DD1" w:rsidP="00CE56D7">
            <w:pPr>
              <w:pStyle w:val="TableParagraph"/>
              <w:ind w:left="99" w:right="167"/>
              <w:rPr>
                <w:rFonts w:ascii="Calibri"/>
                <w:strike/>
                <w:spacing w:val="-1"/>
              </w:rPr>
            </w:pPr>
            <w:r w:rsidRPr="002A20B7">
              <w:rPr>
                <w:rFonts w:ascii="Calibri"/>
                <w:strike/>
              </w:rPr>
              <w:t>GIT 1</w:t>
            </w:r>
            <w:r w:rsidRPr="002A20B7">
              <w:rPr>
                <w:rFonts w:ascii="Calibri"/>
                <w:strike/>
                <w:spacing w:val="-1"/>
              </w:rPr>
              <w:t xml:space="preserve"> recommends</w:t>
            </w:r>
            <w:r w:rsidRPr="002A20B7">
              <w:rPr>
                <w:rFonts w:ascii="Calibri"/>
                <w:strike/>
              </w:rPr>
              <w:t xml:space="preserve"> </w:t>
            </w:r>
            <w:r w:rsidRPr="002A20B7">
              <w:rPr>
                <w:rFonts w:ascii="Calibri"/>
                <w:strike/>
                <w:spacing w:val="-1"/>
              </w:rPr>
              <w:t>including language</w:t>
            </w:r>
            <w:r w:rsidRPr="002A20B7">
              <w:rPr>
                <w:rFonts w:ascii="Calibri"/>
                <w:strike/>
              </w:rPr>
              <w:t xml:space="preserve"> that</w:t>
            </w:r>
            <w:r w:rsidRPr="002A20B7">
              <w:rPr>
                <w:rFonts w:ascii="Calibri"/>
                <w:strike/>
                <w:spacing w:val="-2"/>
              </w:rPr>
              <w:t xml:space="preserve"> </w:t>
            </w:r>
            <w:r w:rsidRPr="002A20B7">
              <w:rPr>
                <w:rFonts w:ascii="Calibri"/>
                <w:strike/>
              </w:rPr>
              <w:t>would</w:t>
            </w:r>
            <w:r w:rsidRPr="002A20B7">
              <w:rPr>
                <w:rFonts w:ascii="Calibri"/>
                <w:strike/>
                <w:spacing w:val="-1"/>
              </w:rPr>
              <w:t xml:space="preserve"> be</w:t>
            </w:r>
            <w:r w:rsidRPr="002A20B7">
              <w:rPr>
                <w:rFonts w:ascii="Calibri"/>
                <w:strike/>
                <w:spacing w:val="-2"/>
              </w:rPr>
              <w:t xml:space="preserve"> </w:t>
            </w:r>
            <w:r w:rsidRPr="002A20B7">
              <w:rPr>
                <w:rFonts w:ascii="Calibri"/>
                <w:strike/>
                <w:spacing w:val="-1"/>
              </w:rPr>
              <w:t>inclusive</w:t>
            </w:r>
            <w:r w:rsidRPr="002A20B7">
              <w:rPr>
                <w:rFonts w:ascii="Calibri"/>
                <w:strike/>
                <w:spacing w:val="-2"/>
              </w:rPr>
              <w:t xml:space="preserve"> </w:t>
            </w:r>
            <w:r w:rsidRPr="002A20B7">
              <w:rPr>
                <w:rFonts w:ascii="Calibri"/>
                <w:strike/>
              </w:rPr>
              <w:t>of</w:t>
            </w:r>
            <w:r w:rsidRPr="002A20B7">
              <w:rPr>
                <w:rFonts w:ascii="Calibri"/>
                <w:strike/>
                <w:spacing w:val="29"/>
              </w:rPr>
              <w:t xml:space="preserve"> </w:t>
            </w:r>
            <w:r w:rsidRPr="002A20B7">
              <w:rPr>
                <w:rFonts w:ascii="Calibri"/>
                <w:strike/>
                <w:spacing w:val="-1"/>
              </w:rPr>
              <w:t>freshwater</w:t>
            </w:r>
            <w:r w:rsidRPr="002A20B7">
              <w:rPr>
                <w:rFonts w:ascii="Calibri"/>
                <w:strike/>
              </w:rPr>
              <w:t xml:space="preserve"> </w:t>
            </w:r>
            <w:r w:rsidRPr="002A20B7">
              <w:rPr>
                <w:rFonts w:ascii="Calibri"/>
                <w:strike/>
                <w:spacing w:val="-1"/>
              </w:rPr>
              <w:t>fisheries and adding a deadline of 2018.</w:t>
            </w:r>
          </w:p>
          <w:p w:rsidR="00664DD1" w:rsidRDefault="00664DD1" w:rsidP="00CE56D7">
            <w:pPr>
              <w:rPr>
                <w:b/>
                <w:color w:val="00B050"/>
              </w:rPr>
            </w:pPr>
            <w:r w:rsidRPr="005F3016">
              <w:rPr>
                <w:b/>
                <w:strike/>
                <w:color w:val="00B050"/>
              </w:rPr>
              <w:t>“By 2018</w:t>
            </w:r>
            <w:r w:rsidRPr="005F3016">
              <w:rPr>
                <w:strike/>
                <w:color w:val="00B050"/>
              </w:rPr>
              <w:t>,</w:t>
            </w:r>
            <w:r w:rsidRPr="005F3016">
              <w:rPr>
                <w:strike/>
              </w:rPr>
              <w:t xml:space="preserve"> identify and characterize critical spawning, nursery and forage areas within the Bay </w:t>
            </w:r>
            <w:r w:rsidRPr="005F3016">
              <w:rPr>
                <w:b/>
                <w:strike/>
                <w:color w:val="00B050"/>
              </w:rPr>
              <w:t>watershed</w:t>
            </w:r>
            <w:r w:rsidRPr="005F3016">
              <w:rPr>
                <w:strike/>
              </w:rPr>
              <w:t xml:space="preserve"> important for fish and shellfish </w:t>
            </w:r>
            <w:r w:rsidRPr="005F3016">
              <w:rPr>
                <w:b/>
                <w:strike/>
                <w:color w:val="00B050"/>
              </w:rPr>
              <w:t>so that management strategies can be enhanced to improve fish health and recreational opportunities</w:t>
            </w:r>
            <w:r w:rsidRPr="009C1731">
              <w:rPr>
                <w:b/>
                <w:color w:val="00B050"/>
              </w:rPr>
              <w:t>.”</w:t>
            </w:r>
          </w:p>
          <w:p w:rsidR="00664DD1" w:rsidRDefault="00664DD1" w:rsidP="00CE56D7">
            <w:r w:rsidRPr="00700B8A">
              <w:rPr>
                <w:rFonts w:ascii="Calibri"/>
                <w:i/>
                <w:u w:val="single"/>
              </w:rPr>
              <w:t>Original</w:t>
            </w:r>
            <w:r>
              <w:rPr>
                <w:rFonts w:ascii="Calibri"/>
                <w:b/>
              </w:rPr>
              <w:t xml:space="preserve">:  </w:t>
            </w:r>
            <w:r w:rsidRPr="002A20B7">
              <w:rPr>
                <w:rFonts w:ascii="Calibri"/>
                <w:b/>
              </w:rPr>
              <w:t>Fish Habitat Outcome</w:t>
            </w:r>
            <w:r w:rsidRPr="002A20B7">
              <w:rPr>
                <w:rFonts w:ascii="Calibri"/>
              </w:rPr>
              <w:t xml:space="preserve">: Continue to identify and characterize critical spawning, nursery and forage areas within </w:t>
            </w:r>
            <w:r w:rsidRPr="002A20B7">
              <w:rPr>
                <w:rFonts w:ascii="Calibri"/>
              </w:rPr>
              <w:lastRenderedPageBreak/>
              <w:t>the Bay and tributaries for important fish and shellfish and use existing and new tools to integrate information and conduct assessments to inform restoration and conservation efforts.</w:t>
            </w:r>
          </w:p>
        </w:tc>
        <w:tc>
          <w:tcPr>
            <w:tcW w:w="397" w:type="pct"/>
          </w:tcPr>
          <w:p w:rsidR="00664DD1" w:rsidRPr="00312EE3" w:rsidRDefault="00664DD1" w:rsidP="00CE56D7">
            <w:pPr>
              <w:jc w:val="center"/>
            </w:pPr>
            <w:r>
              <w:lastRenderedPageBreak/>
              <w:t>4/14/14</w:t>
            </w:r>
          </w:p>
        </w:tc>
        <w:tc>
          <w:tcPr>
            <w:tcW w:w="795" w:type="pct"/>
          </w:tcPr>
          <w:p w:rsidR="00664DD1" w:rsidRPr="00312EE3" w:rsidRDefault="00664DD1" w:rsidP="00CE56D7">
            <w:pPr>
              <w:jc w:val="center"/>
            </w:pPr>
            <w:r w:rsidRPr="00BE743A">
              <w:rPr>
                <w:highlight w:val="green"/>
              </w:rPr>
              <w:t>Do not include.  Use existing language which already includes bay and tributaries.  Broad enough to encompass freshwater streams and rivers.</w:t>
            </w:r>
            <w:r w:rsidRPr="00BE743A">
              <w:t xml:space="preserve"> </w:t>
            </w:r>
          </w:p>
        </w:tc>
        <w:tc>
          <w:tcPr>
            <w:tcW w:w="1282" w:type="pct"/>
          </w:tcPr>
          <w:p w:rsidR="00A60EA1" w:rsidRDefault="00A60EA1" w:rsidP="002D5E24"/>
          <w:p w:rsidR="00A60EA1" w:rsidRDefault="00A60EA1" w:rsidP="002D5E24">
            <w:r>
              <w:t xml:space="preserve">Does </w:t>
            </w:r>
            <w:r w:rsidR="001575A7">
              <w:t>Ex Comm</w:t>
            </w:r>
            <w:bookmarkStart w:id="0" w:name="_GoBack"/>
            <w:bookmarkEnd w:id="0"/>
            <w:r>
              <w:t xml:space="preserve"> want to push for additional freshwater fish outcome?</w:t>
            </w:r>
          </w:p>
          <w:p w:rsidR="0017029A" w:rsidRDefault="0017029A" w:rsidP="002D5E24"/>
          <w:p w:rsidR="0017029A" w:rsidRPr="00BE743A" w:rsidRDefault="0017029A" w:rsidP="002D5E24">
            <w:pPr>
              <w:rPr>
                <w:highlight w:val="green"/>
              </w:rPr>
            </w:pPr>
          </w:p>
        </w:tc>
      </w:tr>
    </w:tbl>
    <w:p w:rsidR="00336507" w:rsidRPr="001C448E" w:rsidRDefault="00336507" w:rsidP="00FC7B81">
      <w:pPr>
        <w:spacing w:after="0"/>
        <w:rPr>
          <w:vanish/>
        </w:rPr>
      </w:pPr>
    </w:p>
    <w:sectPr w:rsidR="00336507" w:rsidRPr="001C448E" w:rsidSect="00EA686A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2B" w:rsidRDefault="00AF2F2B" w:rsidP="00B66117">
      <w:pPr>
        <w:spacing w:after="0" w:line="240" w:lineRule="auto"/>
      </w:pPr>
      <w:r>
        <w:separator/>
      </w:r>
    </w:p>
  </w:endnote>
  <w:endnote w:type="continuationSeparator" w:id="0">
    <w:p w:rsidR="00AF2F2B" w:rsidRDefault="00AF2F2B" w:rsidP="00B6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3682"/>
      <w:docPartObj>
        <w:docPartGallery w:val="Page Numbers (Bottom of Page)"/>
        <w:docPartUnique/>
      </w:docPartObj>
    </w:sdtPr>
    <w:sdtEndPr/>
    <w:sdtContent>
      <w:p w:rsidR="00EC160D" w:rsidRDefault="00DC26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60D" w:rsidRDefault="00EC1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2B" w:rsidRDefault="00AF2F2B" w:rsidP="00B66117">
      <w:pPr>
        <w:spacing w:after="0" w:line="240" w:lineRule="auto"/>
      </w:pPr>
      <w:r>
        <w:separator/>
      </w:r>
    </w:p>
  </w:footnote>
  <w:footnote w:type="continuationSeparator" w:id="0">
    <w:p w:rsidR="00AF2F2B" w:rsidRDefault="00AF2F2B" w:rsidP="00B6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0D" w:rsidRDefault="00EC160D">
    <w:pPr>
      <w:pStyle w:val="Header"/>
      <w:jc w:val="right"/>
    </w:pPr>
  </w:p>
  <w:p w:rsidR="00EC160D" w:rsidRDefault="00EC1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2D4"/>
    <w:multiLevelType w:val="hybridMultilevel"/>
    <w:tmpl w:val="D7F69938"/>
    <w:lvl w:ilvl="0" w:tplc="8D7A03F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323F9"/>
    <w:multiLevelType w:val="hybridMultilevel"/>
    <w:tmpl w:val="F0766490"/>
    <w:lvl w:ilvl="0" w:tplc="F60CEF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6A9F"/>
    <w:multiLevelType w:val="hybridMultilevel"/>
    <w:tmpl w:val="AD845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CB01E2"/>
    <w:multiLevelType w:val="hybridMultilevel"/>
    <w:tmpl w:val="C37E496A"/>
    <w:lvl w:ilvl="0" w:tplc="C2361C78">
      <w:start w:val="1"/>
      <w:numFmt w:val="decimal"/>
      <w:pStyle w:val="NoSpacing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6352712"/>
    <w:multiLevelType w:val="hybridMultilevel"/>
    <w:tmpl w:val="544AF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E6C9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15C10E2"/>
    <w:multiLevelType w:val="hybridMultilevel"/>
    <w:tmpl w:val="24FAF41A"/>
    <w:lvl w:ilvl="0" w:tplc="CD78F6F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911D34"/>
    <w:multiLevelType w:val="hybridMultilevel"/>
    <w:tmpl w:val="49DAB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DE5558"/>
    <w:multiLevelType w:val="hybridMultilevel"/>
    <w:tmpl w:val="A978DF2E"/>
    <w:lvl w:ilvl="0" w:tplc="F60CEF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A5E18"/>
    <w:multiLevelType w:val="hybridMultilevel"/>
    <w:tmpl w:val="809439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A5F2927"/>
    <w:multiLevelType w:val="hybridMultilevel"/>
    <w:tmpl w:val="CF465D0E"/>
    <w:lvl w:ilvl="0" w:tplc="0338D876">
      <w:numFmt w:val="bullet"/>
      <w:lvlText w:val="-"/>
      <w:lvlJc w:val="left"/>
      <w:pPr>
        <w:ind w:left="720" w:hanging="360"/>
      </w:pPr>
      <w:rPr>
        <w:rFonts w:ascii="Helv" w:eastAsia="Times New Roman" w:hAnsi="Helv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82A30"/>
    <w:multiLevelType w:val="hybridMultilevel"/>
    <w:tmpl w:val="FFBC6D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78107FC"/>
    <w:multiLevelType w:val="hybridMultilevel"/>
    <w:tmpl w:val="042A3BFA"/>
    <w:lvl w:ilvl="0" w:tplc="18C8E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1006BD"/>
    <w:multiLevelType w:val="hybridMultilevel"/>
    <w:tmpl w:val="683EB3D0"/>
    <w:lvl w:ilvl="0" w:tplc="EB62C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68CC2C82"/>
    <w:multiLevelType w:val="hybridMultilevel"/>
    <w:tmpl w:val="4C6635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38D8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" w:eastAsia="Times New Roman" w:hAnsi="Helv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B101EA4"/>
    <w:multiLevelType w:val="hybridMultilevel"/>
    <w:tmpl w:val="8E3A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B0615"/>
    <w:multiLevelType w:val="hybridMultilevel"/>
    <w:tmpl w:val="90A0D5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15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07"/>
    <w:rsid w:val="000151F3"/>
    <w:rsid w:val="00015522"/>
    <w:rsid w:val="000201F3"/>
    <w:rsid w:val="00023C75"/>
    <w:rsid w:val="00030EA0"/>
    <w:rsid w:val="00056CED"/>
    <w:rsid w:val="0008125B"/>
    <w:rsid w:val="0009407F"/>
    <w:rsid w:val="000A37B9"/>
    <w:rsid w:val="000A3F57"/>
    <w:rsid w:val="000A76AF"/>
    <w:rsid w:val="000B0763"/>
    <w:rsid w:val="000B3E35"/>
    <w:rsid w:val="000C1519"/>
    <w:rsid w:val="000D266E"/>
    <w:rsid w:val="000D66BE"/>
    <w:rsid w:val="000E7598"/>
    <w:rsid w:val="000F06D1"/>
    <w:rsid w:val="000F0C08"/>
    <w:rsid w:val="000F5BF7"/>
    <w:rsid w:val="00100624"/>
    <w:rsid w:val="001137A1"/>
    <w:rsid w:val="0011708B"/>
    <w:rsid w:val="001270A5"/>
    <w:rsid w:val="0013434E"/>
    <w:rsid w:val="001362CD"/>
    <w:rsid w:val="001575A7"/>
    <w:rsid w:val="00166D54"/>
    <w:rsid w:val="0017029A"/>
    <w:rsid w:val="00174F75"/>
    <w:rsid w:val="001753DF"/>
    <w:rsid w:val="00175916"/>
    <w:rsid w:val="00183E57"/>
    <w:rsid w:val="00187DE8"/>
    <w:rsid w:val="001A14DA"/>
    <w:rsid w:val="001B39D6"/>
    <w:rsid w:val="001B622D"/>
    <w:rsid w:val="001B637B"/>
    <w:rsid w:val="001C448E"/>
    <w:rsid w:val="001E1A2C"/>
    <w:rsid w:val="001E5097"/>
    <w:rsid w:val="001E67BA"/>
    <w:rsid w:val="001F0256"/>
    <w:rsid w:val="002077EE"/>
    <w:rsid w:val="00210B1E"/>
    <w:rsid w:val="00215230"/>
    <w:rsid w:val="00217CC4"/>
    <w:rsid w:val="0022027F"/>
    <w:rsid w:val="00221852"/>
    <w:rsid w:val="00222463"/>
    <w:rsid w:val="00233C8B"/>
    <w:rsid w:val="00243CE5"/>
    <w:rsid w:val="0026259A"/>
    <w:rsid w:val="00263C08"/>
    <w:rsid w:val="00266932"/>
    <w:rsid w:val="00281803"/>
    <w:rsid w:val="00283765"/>
    <w:rsid w:val="002869A7"/>
    <w:rsid w:val="00286D5B"/>
    <w:rsid w:val="0029694C"/>
    <w:rsid w:val="002C27A7"/>
    <w:rsid w:val="002D5E24"/>
    <w:rsid w:val="002E3BF5"/>
    <w:rsid w:val="002E3DCD"/>
    <w:rsid w:val="002F4428"/>
    <w:rsid w:val="002F6FF6"/>
    <w:rsid w:val="002F70D2"/>
    <w:rsid w:val="00312EE3"/>
    <w:rsid w:val="0032377F"/>
    <w:rsid w:val="00323E9A"/>
    <w:rsid w:val="00336507"/>
    <w:rsid w:val="0034335D"/>
    <w:rsid w:val="0035336B"/>
    <w:rsid w:val="00367D1B"/>
    <w:rsid w:val="00370E40"/>
    <w:rsid w:val="003752EE"/>
    <w:rsid w:val="003813F5"/>
    <w:rsid w:val="00386934"/>
    <w:rsid w:val="003901B3"/>
    <w:rsid w:val="003A2FB9"/>
    <w:rsid w:val="003B394B"/>
    <w:rsid w:val="003C20C6"/>
    <w:rsid w:val="003C41D8"/>
    <w:rsid w:val="003D031F"/>
    <w:rsid w:val="003D27C8"/>
    <w:rsid w:val="003E0AC4"/>
    <w:rsid w:val="003E4C18"/>
    <w:rsid w:val="003E7528"/>
    <w:rsid w:val="003F4C6A"/>
    <w:rsid w:val="003F611A"/>
    <w:rsid w:val="00414637"/>
    <w:rsid w:val="00415806"/>
    <w:rsid w:val="0042116F"/>
    <w:rsid w:val="00435331"/>
    <w:rsid w:val="004409AE"/>
    <w:rsid w:val="00455820"/>
    <w:rsid w:val="00457A86"/>
    <w:rsid w:val="00465837"/>
    <w:rsid w:val="00484ECD"/>
    <w:rsid w:val="004867CF"/>
    <w:rsid w:val="00492932"/>
    <w:rsid w:val="004A31ED"/>
    <w:rsid w:val="004C0632"/>
    <w:rsid w:val="004C09A4"/>
    <w:rsid w:val="004C5A8B"/>
    <w:rsid w:val="004F2917"/>
    <w:rsid w:val="004F43C2"/>
    <w:rsid w:val="004F4930"/>
    <w:rsid w:val="004F6C9C"/>
    <w:rsid w:val="00504BDF"/>
    <w:rsid w:val="00514C71"/>
    <w:rsid w:val="0051503F"/>
    <w:rsid w:val="005152BB"/>
    <w:rsid w:val="00522D74"/>
    <w:rsid w:val="00524626"/>
    <w:rsid w:val="0053088B"/>
    <w:rsid w:val="00531093"/>
    <w:rsid w:val="00552A7E"/>
    <w:rsid w:val="00557829"/>
    <w:rsid w:val="00561B3E"/>
    <w:rsid w:val="00566E5F"/>
    <w:rsid w:val="00576C3D"/>
    <w:rsid w:val="00584B75"/>
    <w:rsid w:val="00584F38"/>
    <w:rsid w:val="005908E2"/>
    <w:rsid w:val="00597666"/>
    <w:rsid w:val="005A07B3"/>
    <w:rsid w:val="005B14C8"/>
    <w:rsid w:val="005B1D50"/>
    <w:rsid w:val="005B4E1A"/>
    <w:rsid w:val="005C4F36"/>
    <w:rsid w:val="005F076A"/>
    <w:rsid w:val="005F48A1"/>
    <w:rsid w:val="005F5C5C"/>
    <w:rsid w:val="00601AFB"/>
    <w:rsid w:val="00602FDE"/>
    <w:rsid w:val="00605DA6"/>
    <w:rsid w:val="00637945"/>
    <w:rsid w:val="00654EF9"/>
    <w:rsid w:val="00655408"/>
    <w:rsid w:val="0066138F"/>
    <w:rsid w:val="00664DD1"/>
    <w:rsid w:val="00664F86"/>
    <w:rsid w:val="0066748B"/>
    <w:rsid w:val="006709DF"/>
    <w:rsid w:val="00675E3D"/>
    <w:rsid w:val="00676D4B"/>
    <w:rsid w:val="00677D0B"/>
    <w:rsid w:val="00682F0D"/>
    <w:rsid w:val="006902C9"/>
    <w:rsid w:val="006908E5"/>
    <w:rsid w:val="006922BB"/>
    <w:rsid w:val="006A4DEE"/>
    <w:rsid w:val="006A7473"/>
    <w:rsid w:val="006B3C5B"/>
    <w:rsid w:val="006E1A30"/>
    <w:rsid w:val="006E47D9"/>
    <w:rsid w:val="006F1073"/>
    <w:rsid w:val="006F3244"/>
    <w:rsid w:val="006F4B57"/>
    <w:rsid w:val="00700DCE"/>
    <w:rsid w:val="00723E58"/>
    <w:rsid w:val="00726114"/>
    <w:rsid w:val="00737729"/>
    <w:rsid w:val="007456D4"/>
    <w:rsid w:val="007477F4"/>
    <w:rsid w:val="00753016"/>
    <w:rsid w:val="00774DF9"/>
    <w:rsid w:val="00775946"/>
    <w:rsid w:val="00775EDA"/>
    <w:rsid w:val="00783408"/>
    <w:rsid w:val="00795669"/>
    <w:rsid w:val="007A5FE3"/>
    <w:rsid w:val="007B0676"/>
    <w:rsid w:val="007B3F92"/>
    <w:rsid w:val="007B4C05"/>
    <w:rsid w:val="007B525B"/>
    <w:rsid w:val="007C040D"/>
    <w:rsid w:val="007C3F41"/>
    <w:rsid w:val="007D26C0"/>
    <w:rsid w:val="007D3428"/>
    <w:rsid w:val="007E091D"/>
    <w:rsid w:val="007E5105"/>
    <w:rsid w:val="007F663E"/>
    <w:rsid w:val="008038AD"/>
    <w:rsid w:val="0081309F"/>
    <w:rsid w:val="00815A5C"/>
    <w:rsid w:val="00837B56"/>
    <w:rsid w:val="00843918"/>
    <w:rsid w:val="00844CE9"/>
    <w:rsid w:val="008648FA"/>
    <w:rsid w:val="008663C2"/>
    <w:rsid w:val="00874FA9"/>
    <w:rsid w:val="00876BA8"/>
    <w:rsid w:val="008957B1"/>
    <w:rsid w:val="0089581D"/>
    <w:rsid w:val="008A02AB"/>
    <w:rsid w:val="008A15CA"/>
    <w:rsid w:val="008A4566"/>
    <w:rsid w:val="008A7F96"/>
    <w:rsid w:val="008B0AC8"/>
    <w:rsid w:val="008B2AB5"/>
    <w:rsid w:val="008B388F"/>
    <w:rsid w:val="008C4C67"/>
    <w:rsid w:val="008D16BC"/>
    <w:rsid w:val="008E1BA2"/>
    <w:rsid w:val="008E3FC7"/>
    <w:rsid w:val="008F3E0A"/>
    <w:rsid w:val="008F6133"/>
    <w:rsid w:val="00900F4D"/>
    <w:rsid w:val="0090571E"/>
    <w:rsid w:val="009076BC"/>
    <w:rsid w:val="00917628"/>
    <w:rsid w:val="009219F2"/>
    <w:rsid w:val="00935CEE"/>
    <w:rsid w:val="00963287"/>
    <w:rsid w:val="00973172"/>
    <w:rsid w:val="00984D99"/>
    <w:rsid w:val="009912DA"/>
    <w:rsid w:val="009932D9"/>
    <w:rsid w:val="009A4E8A"/>
    <w:rsid w:val="009B630C"/>
    <w:rsid w:val="009B7785"/>
    <w:rsid w:val="009D65BE"/>
    <w:rsid w:val="009E1CAF"/>
    <w:rsid w:val="009E3BF7"/>
    <w:rsid w:val="009F020D"/>
    <w:rsid w:val="009F78C2"/>
    <w:rsid w:val="00A0005C"/>
    <w:rsid w:val="00A02E63"/>
    <w:rsid w:val="00A04F33"/>
    <w:rsid w:val="00A10ED1"/>
    <w:rsid w:val="00A26EF8"/>
    <w:rsid w:val="00A33B86"/>
    <w:rsid w:val="00A3559D"/>
    <w:rsid w:val="00A40228"/>
    <w:rsid w:val="00A449AF"/>
    <w:rsid w:val="00A52604"/>
    <w:rsid w:val="00A556EA"/>
    <w:rsid w:val="00A60EA1"/>
    <w:rsid w:val="00A61DC2"/>
    <w:rsid w:val="00A658BD"/>
    <w:rsid w:val="00A6604B"/>
    <w:rsid w:val="00A9713F"/>
    <w:rsid w:val="00AA28D5"/>
    <w:rsid w:val="00AC11DF"/>
    <w:rsid w:val="00AD405F"/>
    <w:rsid w:val="00AE215F"/>
    <w:rsid w:val="00AF2F2B"/>
    <w:rsid w:val="00AF57EB"/>
    <w:rsid w:val="00AF68F6"/>
    <w:rsid w:val="00B061FC"/>
    <w:rsid w:val="00B1383F"/>
    <w:rsid w:val="00B1629C"/>
    <w:rsid w:val="00B2794A"/>
    <w:rsid w:val="00B326D2"/>
    <w:rsid w:val="00B62356"/>
    <w:rsid w:val="00B66117"/>
    <w:rsid w:val="00B67860"/>
    <w:rsid w:val="00B7527C"/>
    <w:rsid w:val="00B82858"/>
    <w:rsid w:val="00B83E64"/>
    <w:rsid w:val="00B94941"/>
    <w:rsid w:val="00BA78FC"/>
    <w:rsid w:val="00BB372D"/>
    <w:rsid w:val="00BC599F"/>
    <w:rsid w:val="00BD2A80"/>
    <w:rsid w:val="00BD527A"/>
    <w:rsid w:val="00BF3B75"/>
    <w:rsid w:val="00BF7BFB"/>
    <w:rsid w:val="00C152F3"/>
    <w:rsid w:val="00C17A44"/>
    <w:rsid w:val="00C20625"/>
    <w:rsid w:val="00C2090D"/>
    <w:rsid w:val="00C27354"/>
    <w:rsid w:val="00C37E61"/>
    <w:rsid w:val="00C55935"/>
    <w:rsid w:val="00C640FE"/>
    <w:rsid w:val="00C663D0"/>
    <w:rsid w:val="00C9314C"/>
    <w:rsid w:val="00C94BDB"/>
    <w:rsid w:val="00C9592A"/>
    <w:rsid w:val="00C96A0C"/>
    <w:rsid w:val="00C96B71"/>
    <w:rsid w:val="00CB6F69"/>
    <w:rsid w:val="00CC2E65"/>
    <w:rsid w:val="00CC50B3"/>
    <w:rsid w:val="00CC6F06"/>
    <w:rsid w:val="00CD3A4C"/>
    <w:rsid w:val="00CD5B39"/>
    <w:rsid w:val="00CD65B8"/>
    <w:rsid w:val="00D0516F"/>
    <w:rsid w:val="00D411F5"/>
    <w:rsid w:val="00D56DD9"/>
    <w:rsid w:val="00D575D2"/>
    <w:rsid w:val="00D71104"/>
    <w:rsid w:val="00D75C3C"/>
    <w:rsid w:val="00D765A1"/>
    <w:rsid w:val="00D8199F"/>
    <w:rsid w:val="00D84C9B"/>
    <w:rsid w:val="00D9461E"/>
    <w:rsid w:val="00D97B6C"/>
    <w:rsid w:val="00DA1CF7"/>
    <w:rsid w:val="00DA4E5E"/>
    <w:rsid w:val="00DA5A45"/>
    <w:rsid w:val="00DB1C38"/>
    <w:rsid w:val="00DB29B8"/>
    <w:rsid w:val="00DB488E"/>
    <w:rsid w:val="00DB5183"/>
    <w:rsid w:val="00DC2682"/>
    <w:rsid w:val="00DD2620"/>
    <w:rsid w:val="00DD2C1F"/>
    <w:rsid w:val="00DE1756"/>
    <w:rsid w:val="00DE6045"/>
    <w:rsid w:val="00DE746B"/>
    <w:rsid w:val="00DF1964"/>
    <w:rsid w:val="00DF28A4"/>
    <w:rsid w:val="00DF3E9D"/>
    <w:rsid w:val="00DF58B3"/>
    <w:rsid w:val="00E04183"/>
    <w:rsid w:val="00E05098"/>
    <w:rsid w:val="00E116BF"/>
    <w:rsid w:val="00E128C8"/>
    <w:rsid w:val="00E23378"/>
    <w:rsid w:val="00E34F19"/>
    <w:rsid w:val="00E4340B"/>
    <w:rsid w:val="00E72010"/>
    <w:rsid w:val="00E777FF"/>
    <w:rsid w:val="00E87F7F"/>
    <w:rsid w:val="00E96809"/>
    <w:rsid w:val="00EA15D1"/>
    <w:rsid w:val="00EA686A"/>
    <w:rsid w:val="00EB1C90"/>
    <w:rsid w:val="00EB5C06"/>
    <w:rsid w:val="00EC160D"/>
    <w:rsid w:val="00EC1709"/>
    <w:rsid w:val="00EC5983"/>
    <w:rsid w:val="00ED4ECB"/>
    <w:rsid w:val="00ED504B"/>
    <w:rsid w:val="00EE0D2F"/>
    <w:rsid w:val="00EE59B4"/>
    <w:rsid w:val="00EE7206"/>
    <w:rsid w:val="00EF2057"/>
    <w:rsid w:val="00EF6AB8"/>
    <w:rsid w:val="00EF6D79"/>
    <w:rsid w:val="00EF7472"/>
    <w:rsid w:val="00F110E1"/>
    <w:rsid w:val="00F12E66"/>
    <w:rsid w:val="00F14E64"/>
    <w:rsid w:val="00F218E4"/>
    <w:rsid w:val="00F31525"/>
    <w:rsid w:val="00F32361"/>
    <w:rsid w:val="00F33279"/>
    <w:rsid w:val="00F34154"/>
    <w:rsid w:val="00F4128E"/>
    <w:rsid w:val="00F50DAD"/>
    <w:rsid w:val="00F72152"/>
    <w:rsid w:val="00F7353B"/>
    <w:rsid w:val="00F81833"/>
    <w:rsid w:val="00F90257"/>
    <w:rsid w:val="00F94F05"/>
    <w:rsid w:val="00FA56BC"/>
    <w:rsid w:val="00FA6256"/>
    <w:rsid w:val="00FB169D"/>
    <w:rsid w:val="00FB26C0"/>
    <w:rsid w:val="00FB5E93"/>
    <w:rsid w:val="00FC0236"/>
    <w:rsid w:val="00FC0DB8"/>
    <w:rsid w:val="00FC7B8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07"/>
  </w:style>
  <w:style w:type="paragraph" w:styleId="Heading4">
    <w:name w:val="heading 4"/>
    <w:basedOn w:val="Normal"/>
    <w:next w:val="Normal"/>
    <w:link w:val="Heading4Char"/>
    <w:uiPriority w:val="99"/>
    <w:qFormat/>
    <w:rsid w:val="005F076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36507"/>
    <w:pPr>
      <w:spacing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336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E40"/>
    <w:pPr>
      <w:ind w:left="720"/>
      <w:contextualSpacing/>
    </w:pPr>
  </w:style>
  <w:style w:type="paragraph" w:styleId="NoSpacing">
    <w:name w:val="No Spacing"/>
    <w:autoRedefine/>
    <w:uiPriority w:val="99"/>
    <w:qFormat/>
    <w:rsid w:val="00900F4D"/>
    <w:pPr>
      <w:numPr>
        <w:numId w:val="3"/>
      </w:numPr>
      <w:tabs>
        <w:tab w:val="clear" w:pos="360"/>
        <w:tab w:val="num" w:pos="180"/>
      </w:tabs>
      <w:spacing w:after="0" w:line="240" w:lineRule="auto"/>
      <w:ind w:left="0" w:firstLine="0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A000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005C"/>
    <w:rPr>
      <w:rFonts w:ascii="Consolas" w:hAnsi="Consolas" w:cs="Consolas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A52604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117"/>
  </w:style>
  <w:style w:type="paragraph" w:styleId="Footer">
    <w:name w:val="footer"/>
    <w:basedOn w:val="Normal"/>
    <w:link w:val="FooterChar"/>
    <w:uiPriority w:val="99"/>
    <w:unhideWhenUsed/>
    <w:rsid w:val="00B6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117"/>
  </w:style>
  <w:style w:type="character" w:customStyle="1" w:styleId="Heading4Char">
    <w:name w:val="Heading 4 Char"/>
    <w:basedOn w:val="DefaultParagraphFont"/>
    <w:link w:val="Heading4"/>
    <w:uiPriority w:val="99"/>
    <w:rsid w:val="005F076A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Default">
    <w:name w:val="Default"/>
    <w:rsid w:val="008E3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07"/>
  </w:style>
  <w:style w:type="paragraph" w:styleId="Heading4">
    <w:name w:val="heading 4"/>
    <w:basedOn w:val="Normal"/>
    <w:next w:val="Normal"/>
    <w:link w:val="Heading4Char"/>
    <w:uiPriority w:val="99"/>
    <w:qFormat/>
    <w:rsid w:val="005F076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36507"/>
    <w:pPr>
      <w:spacing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336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E40"/>
    <w:pPr>
      <w:ind w:left="720"/>
      <w:contextualSpacing/>
    </w:pPr>
  </w:style>
  <w:style w:type="paragraph" w:styleId="NoSpacing">
    <w:name w:val="No Spacing"/>
    <w:autoRedefine/>
    <w:uiPriority w:val="99"/>
    <w:qFormat/>
    <w:rsid w:val="00900F4D"/>
    <w:pPr>
      <w:numPr>
        <w:numId w:val="3"/>
      </w:numPr>
      <w:tabs>
        <w:tab w:val="clear" w:pos="360"/>
        <w:tab w:val="num" w:pos="180"/>
      </w:tabs>
      <w:spacing w:after="0" w:line="240" w:lineRule="auto"/>
      <w:ind w:left="0" w:firstLine="0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A000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005C"/>
    <w:rPr>
      <w:rFonts w:ascii="Consolas" w:hAnsi="Consolas" w:cs="Consolas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A52604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117"/>
  </w:style>
  <w:style w:type="paragraph" w:styleId="Footer">
    <w:name w:val="footer"/>
    <w:basedOn w:val="Normal"/>
    <w:link w:val="FooterChar"/>
    <w:uiPriority w:val="99"/>
    <w:unhideWhenUsed/>
    <w:rsid w:val="00B6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117"/>
  </w:style>
  <w:style w:type="character" w:customStyle="1" w:styleId="Heading4Char">
    <w:name w:val="Heading 4 Char"/>
    <w:basedOn w:val="DefaultParagraphFont"/>
    <w:link w:val="Heading4"/>
    <w:uiPriority w:val="99"/>
    <w:rsid w:val="005F076A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Default">
    <w:name w:val="Default"/>
    <w:rsid w:val="008E3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FB01-B76D-4382-9379-B0510792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655</Words>
  <Characters>3914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ltaneyhi</dc:creator>
  <cp:lastModifiedBy>Emilie.Franke</cp:lastModifiedBy>
  <cp:revision>52</cp:revision>
  <cp:lastPrinted>2014-04-13T14:32:00Z</cp:lastPrinted>
  <dcterms:created xsi:type="dcterms:W3CDTF">2014-04-16T17:14:00Z</dcterms:created>
  <dcterms:modified xsi:type="dcterms:W3CDTF">2014-04-18T15:31:00Z</dcterms:modified>
</cp:coreProperties>
</file>