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C8F9" w14:textId="77777777" w:rsidR="005800A8" w:rsidRPr="005800A8" w:rsidRDefault="005800A8" w:rsidP="005800A8">
      <w:pPr>
        <w:spacing w:after="0"/>
        <w:rPr>
          <w:b/>
          <w:bCs/>
          <w:sz w:val="28"/>
          <w:szCs w:val="28"/>
        </w:rPr>
      </w:pPr>
      <w:r w:rsidRPr="005800A8">
        <w:rPr>
          <w:noProof/>
          <w:color w:val="2B579A"/>
          <w:shd w:val="clear" w:color="auto" w:fill="E6E6E6"/>
        </w:rPr>
        <w:drawing>
          <wp:anchor distT="0" distB="0" distL="114300" distR="114300" simplePos="0" relativeHeight="251659264" behindDoc="1" locked="0" layoutInCell="1" allowOverlap="1" wp14:anchorId="03B80CB7" wp14:editId="46CC8CBD">
            <wp:simplePos x="0" y="0"/>
            <wp:positionH relativeFrom="column">
              <wp:posOffset>0</wp:posOffset>
            </wp:positionH>
            <wp:positionV relativeFrom="paragraph">
              <wp:posOffset>90487</wp:posOffset>
            </wp:positionV>
            <wp:extent cx="1190625" cy="410845"/>
            <wp:effectExtent l="0" t="0" r="9525" b="8255"/>
            <wp:wrapNone/>
            <wp:docPr id="996053187" name="Picture 9960531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53187" name="Picture 99605318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410845"/>
                    </a:xfrm>
                    <a:prstGeom prst="rect">
                      <a:avLst/>
                    </a:prstGeom>
                  </pic:spPr>
                </pic:pic>
              </a:graphicData>
            </a:graphic>
          </wp:anchor>
        </w:drawing>
      </w:r>
    </w:p>
    <w:p w14:paraId="50D2C58F" w14:textId="77777777" w:rsidR="005800A8" w:rsidRPr="005800A8" w:rsidRDefault="005800A8" w:rsidP="005800A8">
      <w:pPr>
        <w:spacing w:after="0"/>
        <w:rPr>
          <w:b/>
          <w:bCs/>
          <w:sz w:val="28"/>
          <w:szCs w:val="28"/>
        </w:rPr>
      </w:pPr>
    </w:p>
    <w:p w14:paraId="40F1D544" w14:textId="77777777" w:rsidR="005800A8" w:rsidRPr="005800A8" w:rsidRDefault="005800A8" w:rsidP="005800A8">
      <w:pPr>
        <w:spacing w:after="0"/>
        <w:rPr>
          <w:b/>
          <w:bCs/>
          <w:color w:val="4472C4" w:themeColor="accent1"/>
          <w:sz w:val="28"/>
          <w:szCs w:val="28"/>
        </w:rPr>
      </w:pPr>
    </w:p>
    <w:p w14:paraId="188F7523" w14:textId="6F9910C6" w:rsidR="005800A8" w:rsidRPr="005800A8" w:rsidRDefault="00B87100" w:rsidP="005800A8">
      <w:pPr>
        <w:spacing w:after="60"/>
        <w:rPr>
          <w:rFonts w:ascii="Calibri" w:hAnsi="Calibri" w:cs="Calibri"/>
          <w:b/>
          <w:bCs/>
          <w:color w:val="4472C4" w:themeColor="accent1"/>
          <w:sz w:val="32"/>
          <w:szCs w:val="32"/>
        </w:rPr>
      </w:pPr>
      <w:r w:rsidRPr="00B87100">
        <w:rPr>
          <w:rFonts w:ascii="Calibri" w:hAnsi="Calibri" w:cs="Calibri"/>
          <w:b/>
          <w:bCs/>
          <w:color w:val="4472C4" w:themeColor="accent1"/>
          <w:sz w:val="32"/>
          <w:szCs w:val="32"/>
        </w:rPr>
        <w:t xml:space="preserve">Riparian Forest Buffer Program Best Practices Discussion </w:t>
      </w:r>
      <w:r w:rsidR="006A5DA5">
        <w:rPr>
          <w:rFonts w:ascii="Calibri" w:hAnsi="Calibri" w:cs="Calibri"/>
          <w:b/>
          <w:bCs/>
          <w:color w:val="4472C4" w:themeColor="accent1"/>
          <w:sz w:val="32"/>
          <w:szCs w:val="32"/>
        </w:rPr>
        <w:t>Summary</w:t>
      </w:r>
    </w:p>
    <w:p w14:paraId="528D749D" w14:textId="75B8B179" w:rsidR="005800A8" w:rsidRPr="005800A8" w:rsidRDefault="00B87100" w:rsidP="005800A8">
      <w:pPr>
        <w:spacing w:after="0"/>
        <w:rPr>
          <w:rFonts w:ascii="Calibri" w:hAnsi="Calibri" w:cs="Calibri"/>
          <w:b/>
          <w:bCs/>
          <w:i/>
          <w:iCs/>
          <w:color w:val="4472C4" w:themeColor="accent1"/>
          <w:sz w:val="28"/>
          <w:szCs w:val="28"/>
        </w:rPr>
      </w:pPr>
      <w:r>
        <w:rPr>
          <w:rFonts w:ascii="Calibri" w:hAnsi="Calibri" w:cs="Calibri"/>
          <w:b/>
          <w:bCs/>
          <w:i/>
          <w:iCs/>
          <w:color w:val="4472C4" w:themeColor="accent1"/>
          <w:sz w:val="28"/>
          <w:szCs w:val="28"/>
        </w:rPr>
        <w:t xml:space="preserve">In Preparation for </w:t>
      </w:r>
      <w:r w:rsidRPr="00B87100">
        <w:rPr>
          <w:rFonts w:ascii="Calibri" w:hAnsi="Calibri" w:cs="Calibri"/>
          <w:b/>
          <w:bCs/>
          <w:i/>
          <w:iCs/>
          <w:color w:val="4472C4" w:themeColor="accent1"/>
          <w:sz w:val="28"/>
          <w:szCs w:val="28"/>
        </w:rPr>
        <w:t xml:space="preserve">Chesapeake Riparian Forest Buffer 2022 Leadership Workshop </w:t>
      </w:r>
    </w:p>
    <w:p w14:paraId="17BF8E05" w14:textId="712B3DD0" w:rsidR="005800A8" w:rsidRPr="005800A8" w:rsidRDefault="00D1057B" w:rsidP="005800A8">
      <w:pPr>
        <w:pBdr>
          <w:bottom w:val="single" w:sz="4" w:space="1" w:color="2F5496" w:themeColor="accent1" w:themeShade="BF"/>
        </w:pBdr>
        <w:jc w:val="right"/>
        <w:rPr>
          <w:rFonts w:ascii="Calibri" w:hAnsi="Calibri" w:cs="Calibri"/>
          <w:b/>
          <w:bCs/>
          <w:i/>
          <w:iCs/>
          <w:color w:val="4472C4" w:themeColor="accent1"/>
          <w:sz w:val="24"/>
          <w:szCs w:val="24"/>
        </w:rPr>
      </w:pPr>
      <w:r>
        <w:rPr>
          <w:rFonts w:ascii="Calibri" w:hAnsi="Calibri" w:cs="Calibri"/>
          <w:b/>
          <w:bCs/>
          <w:i/>
          <w:iCs/>
          <w:color w:val="4472C4" w:themeColor="accent1"/>
          <w:sz w:val="24"/>
          <w:szCs w:val="24"/>
        </w:rPr>
        <w:t xml:space="preserve">Delaware: </w:t>
      </w:r>
      <w:r w:rsidR="00DD5E30">
        <w:rPr>
          <w:rFonts w:ascii="Calibri" w:hAnsi="Calibri" w:cs="Calibri"/>
          <w:b/>
          <w:bCs/>
          <w:i/>
          <w:iCs/>
          <w:color w:val="4472C4" w:themeColor="accent1"/>
          <w:sz w:val="24"/>
          <w:szCs w:val="24"/>
        </w:rPr>
        <w:t>March 1</w:t>
      </w:r>
      <w:r>
        <w:rPr>
          <w:rFonts w:ascii="Calibri" w:hAnsi="Calibri" w:cs="Calibri"/>
          <w:b/>
          <w:bCs/>
          <w:i/>
          <w:iCs/>
          <w:color w:val="4472C4" w:themeColor="accent1"/>
          <w:sz w:val="24"/>
          <w:szCs w:val="24"/>
        </w:rPr>
        <w:t>8</w:t>
      </w:r>
      <w:r w:rsidR="005800A8" w:rsidRPr="005800A8">
        <w:rPr>
          <w:rFonts w:ascii="Calibri" w:hAnsi="Calibri" w:cs="Calibri"/>
          <w:b/>
          <w:bCs/>
          <w:i/>
          <w:iCs/>
          <w:color w:val="4472C4" w:themeColor="accent1"/>
          <w:sz w:val="24"/>
          <w:szCs w:val="24"/>
        </w:rPr>
        <w:t>, 2022</w:t>
      </w:r>
    </w:p>
    <w:p w14:paraId="2AB80745" w14:textId="2624D653" w:rsidR="005800A8" w:rsidRPr="005800A8" w:rsidRDefault="00010DC5" w:rsidP="005800A8">
      <w:pPr>
        <w:spacing w:before="120" w:after="120" w:line="264" w:lineRule="auto"/>
        <w:outlineLvl w:val="0"/>
        <w:rPr>
          <w:rFonts w:ascii="Arial" w:eastAsia="Times" w:hAnsi="Arial" w:cs="Arial"/>
          <w:b/>
          <w:bCs/>
          <w:color w:val="4472C4" w:themeColor="accent1"/>
          <w:sz w:val="24"/>
          <w:szCs w:val="24"/>
        </w:rPr>
      </w:pPr>
      <w:r>
        <w:rPr>
          <w:rFonts w:ascii="Arial" w:eastAsia="Times" w:hAnsi="Arial" w:cs="Arial"/>
          <w:b/>
          <w:bCs/>
          <w:color w:val="4472C4" w:themeColor="accent1"/>
          <w:sz w:val="24"/>
          <w:szCs w:val="24"/>
        </w:rPr>
        <w:t>Purpose and Background</w:t>
      </w:r>
    </w:p>
    <w:p w14:paraId="18314F1C" w14:textId="3F99FAAA" w:rsidR="00DF1D1E" w:rsidRDefault="00DF1D1E" w:rsidP="00DF1D1E">
      <w:r>
        <w:t xml:space="preserve">To help the states prepare for the upcoming Chesapeake Riparian Forest Buffer (RFB) 2022 Leadership Workshop, Eastern Research Group (ERG) led a discussion in each state about </w:t>
      </w:r>
      <w:r w:rsidR="00685868">
        <w:t>state specific</w:t>
      </w:r>
      <w:r>
        <w:t xml:space="preserve"> RFB programs. Ultimately, these discussions were designed to assist the jurisdictions in writing their Strategic Action Plans for RFB that will be discussed at the workshop. See the Strategic Action Plans for RFB guidance accompanying this summary for additional information.</w:t>
      </w:r>
    </w:p>
    <w:p w14:paraId="472F93F6" w14:textId="042C0BEE" w:rsidR="00DF1D1E" w:rsidRDefault="00DF1D1E" w:rsidP="00DF1D1E">
      <w:r>
        <w:t xml:space="preserve">This document </w:t>
      </w:r>
      <w:r w:rsidR="00F61B36">
        <w:t xml:space="preserve">summarizes </w:t>
      </w:r>
      <w:r>
        <w:t>the discussion that ERG organized and facilitated with representatives from various agencies working on RFB programs and projects in</w:t>
      </w:r>
      <w:r w:rsidR="00A83282">
        <w:t xml:space="preserve"> Delaware</w:t>
      </w:r>
      <w:r w:rsidR="00395907">
        <w:t xml:space="preserve">. </w:t>
      </w:r>
    </w:p>
    <w:p w14:paraId="16279539" w14:textId="77777777" w:rsidR="00DF1D1E" w:rsidRDefault="00DF1D1E" w:rsidP="00A02F18">
      <w:pPr>
        <w:rPr>
          <w:b/>
          <w:bCs/>
        </w:rPr>
      </w:pPr>
    </w:p>
    <w:p w14:paraId="5D7EB7FD" w14:textId="0E7769EE" w:rsidR="00A02F18" w:rsidRPr="00E82BB2" w:rsidRDefault="00A02F18" w:rsidP="00A02F18">
      <w:pPr>
        <w:rPr>
          <w:b/>
          <w:bCs/>
        </w:rPr>
      </w:pPr>
      <w:r w:rsidRPr="00E82BB2">
        <w:rPr>
          <w:b/>
          <w:bCs/>
        </w:rPr>
        <w:t>Participants</w:t>
      </w:r>
    </w:p>
    <w:p w14:paraId="5373EADD" w14:textId="5452DBDC" w:rsidR="00D1057B" w:rsidRDefault="00010DC5" w:rsidP="00A02F18">
      <w:r>
        <w:t xml:space="preserve">The following individuals </w:t>
      </w:r>
      <w:r w:rsidR="008E014E">
        <w:t xml:space="preserve">participated in the Delaware Riparian Forest Buffer discussion on </w:t>
      </w:r>
      <w:r w:rsidR="00D1057B">
        <w:t>March 18, 2022</w:t>
      </w:r>
      <w:r w:rsidR="008E014E">
        <w:t>:</w:t>
      </w:r>
    </w:p>
    <w:p w14:paraId="049A7382" w14:textId="5BCFCF3E" w:rsidR="00D1057B" w:rsidRDefault="00757880" w:rsidP="00C62EF4">
      <w:pPr>
        <w:pStyle w:val="ListParagraph"/>
        <w:numPr>
          <w:ilvl w:val="0"/>
          <w:numId w:val="11"/>
        </w:numPr>
      </w:pPr>
      <w:r>
        <w:t xml:space="preserve">Marcia Fox, </w:t>
      </w:r>
      <w:r w:rsidR="009B78DF">
        <w:t xml:space="preserve">Delaware </w:t>
      </w:r>
      <w:r w:rsidR="00301BEF">
        <w:t xml:space="preserve">Department of Natural Resources and Environmental Control </w:t>
      </w:r>
      <w:r w:rsidR="00B47464">
        <w:t>(</w:t>
      </w:r>
      <w:r w:rsidR="008A1BF3">
        <w:t>DNREC</w:t>
      </w:r>
      <w:r w:rsidR="00B47464">
        <w:t>)</w:t>
      </w:r>
      <w:r w:rsidR="008A1BF3">
        <w:t xml:space="preserve"> </w:t>
      </w:r>
    </w:p>
    <w:p w14:paraId="18B135B3" w14:textId="77777777" w:rsidR="00D071B1" w:rsidRDefault="00D071B1" w:rsidP="00D071B1">
      <w:pPr>
        <w:pStyle w:val="ListParagraph"/>
        <w:numPr>
          <w:ilvl w:val="0"/>
          <w:numId w:val="11"/>
        </w:numPr>
      </w:pPr>
      <w:r>
        <w:t xml:space="preserve">Beth Krumrine, DNREC </w:t>
      </w:r>
    </w:p>
    <w:p w14:paraId="6165C46E" w14:textId="77777777" w:rsidR="00D071B1" w:rsidRDefault="00D071B1" w:rsidP="00D071B1">
      <w:pPr>
        <w:pStyle w:val="ListParagraph"/>
        <w:numPr>
          <w:ilvl w:val="0"/>
          <w:numId w:val="11"/>
        </w:numPr>
      </w:pPr>
      <w:r>
        <w:t xml:space="preserve">Catie Soriano, DNREC </w:t>
      </w:r>
    </w:p>
    <w:p w14:paraId="182D96D7" w14:textId="77777777" w:rsidR="00D071B1" w:rsidRDefault="00D071B1" w:rsidP="00D071B1">
      <w:pPr>
        <w:pStyle w:val="ListParagraph"/>
        <w:numPr>
          <w:ilvl w:val="0"/>
          <w:numId w:val="11"/>
        </w:numPr>
      </w:pPr>
      <w:r>
        <w:t xml:space="preserve">Jenna Talbot, DNREC </w:t>
      </w:r>
    </w:p>
    <w:p w14:paraId="280078A5" w14:textId="77777777" w:rsidR="00D071B1" w:rsidRDefault="00D071B1" w:rsidP="00D071B1">
      <w:pPr>
        <w:pStyle w:val="ListParagraph"/>
        <w:numPr>
          <w:ilvl w:val="0"/>
          <w:numId w:val="11"/>
        </w:numPr>
      </w:pPr>
      <w:r>
        <w:t xml:space="preserve">Jennifer Walls, DNREC </w:t>
      </w:r>
    </w:p>
    <w:p w14:paraId="352110CF" w14:textId="77777777" w:rsidR="00D071B1" w:rsidRDefault="00D071B1" w:rsidP="00D071B1">
      <w:pPr>
        <w:pStyle w:val="ListParagraph"/>
        <w:numPr>
          <w:ilvl w:val="0"/>
          <w:numId w:val="11"/>
        </w:numPr>
      </w:pPr>
      <w:r>
        <w:t xml:space="preserve">Ben Coverdale, DNREC </w:t>
      </w:r>
    </w:p>
    <w:p w14:paraId="15F8F008" w14:textId="508E97E2" w:rsidR="00D071B1" w:rsidRDefault="00D071B1" w:rsidP="00D071B1">
      <w:pPr>
        <w:pStyle w:val="ListParagraph"/>
        <w:numPr>
          <w:ilvl w:val="0"/>
          <w:numId w:val="11"/>
        </w:numPr>
      </w:pPr>
      <w:r>
        <w:t>Clare Sevcik, DNREC</w:t>
      </w:r>
    </w:p>
    <w:p w14:paraId="4527E3FF" w14:textId="288D9809" w:rsidR="00757880" w:rsidRDefault="00757880" w:rsidP="00C62EF4">
      <w:pPr>
        <w:pStyle w:val="ListParagraph"/>
        <w:numPr>
          <w:ilvl w:val="0"/>
          <w:numId w:val="11"/>
        </w:numPr>
      </w:pPr>
      <w:r>
        <w:t>Sam Topper</w:t>
      </w:r>
      <w:r w:rsidR="00387F31">
        <w:t xml:space="preserve">, </w:t>
      </w:r>
      <w:r w:rsidR="009B78DF">
        <w:t xml:space="preserve">Delaware </w:t>
      </w:r>
      <w:r w:rsidR="00B3747F">
        <w:t>Department of Agriculture</w:t>
      </w:r>
    </w:p>
    <w:p w14:paraId="0965F914" w14:textId="7F6A1146" w:rsidR="00387F31" w:rsidRDefault="00387F31" w:rsidP="00C62EF4">
      <w:pPr>
        <w:pStyle w:val="ListParagraph"/>
        <w:numPr>
          <w:ilvl w:val="0"/>
          <w:numId w:val="11"/>
        </w:numPr>
      </w:pPr>
      <w:r>
        <w:t xml:space="preserve">Brian Jennings, </w:t>
      </w:r>
      <w:r w:rsidR="00F14977" w:rsidRPr="00F14977">
        <w:t>U.S. Fish &amp; Wildlife Service</w:t>
      </w:r>
      <w:r w:rsidR="00D071B1">
        <w:t xml:space="preserve"> (</w:t>
      </w:r>
      <w:r w:rsidR="00F14977" w:rsidRPr="00F14977">
        <w:t>Chesapeake Bay Field Office</w:t>
      </w:r>
      <w:r w:rsidR="00D071B1">
        <w:t>)</w:t>
      </w:r>
      <w:r w:rsidR="00F14977">
        <w:t xml:space="preserve"> </w:t>
      </w:r>
    </w:p>
    <w:p w14:paraId="4E732A29" w14:textId="7A7670CB" w:rsidR="00387F31" w:rsidRDefault="00387F31" w:rsidP="00C62EF4">
      <w:pPr>
        <w:pStyle w:val="ListParagraph"/>
        <w:numPr>
          <w:ilvl w:val="0"/>
          <w:numId w:val="11"/>
        </w:numPr>
      </w:pPr>
      <w:r>
        <w:t xml:space="preserve">Kasey Taylor, </w:t>
      </w:r>
      <w:r w:rsidR="0067565C">
        <w:t>Delaware State Conservationist, N</w:t>
      </w:r>
      <w:r w:rsidR="00561A45">
        <w:t>atural Resources Conservation Service</w:t>
      </w:r>
      <w:r w:rsidR="0024472D">
        <w:t xml:space="preserve"> (NRCS)</w:t>
      </w:r>
      <w:r w:rsidR="00561A45">
        <w:t xml:space="preserve">, U.S. Department of Agriculture </w:t>
      </w:r>
      <w:r w:rsidR="00D80EF7">
        <w:t>(USDA)</w:t>
      </w:r>
    </w:p>
    <w:p w14:paraId="13A0B00D" w14:textId="0965AC45" w:rsidR="000F4CA8" w:rsidRDefault="000F4CA8" w:rsidP="00D071B1">
      <w:pPr>
        <w:ind w:left="360"/>
      </w:pPr>
    </w:p>
    <w:p w14:paraId="1681B03E" w14:textId="77777777" w:rsidR="00D1057B" w:rsidRPr="00E82BB2" w:rsidRDefault="00D1057B" w:rsidP="00A02F18"/>
    <w:p w14:paraId="6C5915E4" w14:textId="77777777" w:rsidR="00BD7D8B" w:rsidRDefault="00BD7D8B">
      <w:pPr>
        <w:rPr>
          <w:b/>
          <w:bCs/>
        </w:rPr>
      </w:pPr>
    </w:p>
    <w:p w14:paraId="3EF091D8" w14:textId="77777777" w:rsidR="00DC57A2" w:rsidRDefault="00DC57A2"/>
    <w:p w14:paraId="1D0558E1" w14:textId="77777777" w:rsidR="00604EAD" w:rsidRDefault="00604EAD">
      <w:pPr>
        <w:rPr>
          <w:rFonts w:ascii="Arial" w:eastAsia="Times" w:hAnsi="Arial" w:cs="Arial"/>
          <w:b/>
          <w:bCs/>
          <w:color w:val="4472C4" w:themeColor="accent1"/>
          <w:sz w:val="24"/>
          <w:szCs w:val="24"/>
        </w:rPr>
      </w:pPr>
      <w:r>
        <w:rPr>
          <w:rFonts w:ascii="Arial" w:eastAsia="Times" w:hAnsi="Arial" w:cs="Arial"/>
          <w:b/>
          <w:bCs/>
          <w:color w:val="4472C4" w:themeColor="accent1"/>
          <w:sz w:val="24"/>
          <w:szCs w:val="24"/>
        </w:rPr>
        <w:br w:type="page"/>
      </w:r>
    </w:p>
    <w:p w14:paraId="06D27B09" w14:textId="54DB6F28" w:rsidR="00C4001A" w:rsidRPr="005800A8" w:rsidRDefault="00C4001A" w:rsidP="00C4001A">
      <w:pPr>
        <w:spacing w:before="120" w:after="120" w:line="264" w:lineRule="auto"/>
        <w:outlineLvl w:val="0"/>
        <w:rPr>
          <w:rFonts w:ascii="Arial" w:eastAsia="Times" w:hAnsi="Arial" w:cs="Arial"/>
          <w:b/>
          <w:bCs/>
          <w:color w:val="4472C4" w:themeColor="accent1"/>
          <w:sz w:val="24"/>
          <w:szCs w:val="24"/>
        </w:rPr>
      </w:pPr>
      <w:r w:rsidRPr="005800A8">
        <w:rPr>
          <w:rFonts w:ascii="Arial" w:eastAsia="Times" w:hAnsi="Arial" w:cs="Arial"/>
          <w:b/>
          <w:bCs/>
          <w:color w:val="4472C4" w:themeColor="accent1"/>
          <w:sz w:val="24"/>
          <w:szCs w:val="24"/>
        </w:rPr>
        <w:lastRenderedPageBreak/>
        <w:t xml:space="preserve">Section </w:t>
      </w:r>
      <w:r>
        <w:rPr>
          <w:rFonts w:ascii="Arial" w:eastAsia="Times" w:hAnsi="Arial" w:cs="Arial"/>
          <w:b/>
          <w:bCs/>
          <w:color w:val="4472C4" w:themeColor="accent1"/>
          <w:sz w:val="24"/>
          <w:szCs w:val="24"/>
        </w:rPr>
        <w:t>2</w:t>
      </w:r>
      <w:r w:rsidRPr="005800A8">
        <w:rPr>
          <w:rFonts w:ascii="Arial" w:eastAsia="Times" w:hAnsi="Arial" w:cs="Arial"/>
          <w:b/>
          <w:bCs/>
          <w:color w:val="4472C4" w:themeColor="accent1"/>
          <w:sz w:val="24"/>
          <w:szCs w:val="24"/>
        </w:rPr>
        <w:t>.</w:t>
      </w:r>
      <w:r w:rsidRPr="005800A8">
        <w:rPr>
          <w:rFonts w:ascii="Arial" w:eastAsia="Times" w:hAnsi="Arial" w:cs="Arial"/>
          <w:b/>
          <w:bCs/>
          <w:color w:val="4472C4" w:themeColor="accent1"/>
          <w:sz w:val="24"/>
          <w:szCs w:val="24"/>
        </w:rPr>
        <w:tab/>
        <w:t xml:space="preserve"> </w:t>
      </w:r>
      <w:r w:rsidR="009E03EC">
        <w:rPr>
          <w:rFonts w:ascii="Arial" w:eastAsia="Times" w:hAnsi="Arial" w:cs="Arial"/>
          <w:b/>
          <w:bCs/>
          <w:color w:val="4472C4" w:themeColor="accent1"/>
          <w:sz w:val="24"/>
          <w:szCs w:val="24"/>
        </w:rPr>
        <w:t xml:space="preserve">Overarching </w:t>
      </w:r>
      <w:r w:rsidR="00F4514B">
        <w:rPr>
          <w:rFonts w:ascii="Arial" w:eastAsia="Times" w:hAnsi="Arial" w:cs="Arial"/>
          <w:b/>
          <w:bCs/>
          <w:color w:val="4472C4" w:themeColor="accent1"/>
          <w:sz w:val="24"/>
          <w:szCs w:val="24"/>
        </w:rPr>
        <w:t xml:space="preserve">Summary </w:t>
      </w:r>
      <w:r w:rsidR="009E03EC">
        <w:rPr>
          <w:rFonts w:ascii="Arial" w:eastAsia="Times" w:hAnsi="Arial" w:cs="Arial"/>
          <w:b/>
          <w:bCs/>
          <w:color w:val="4472C4" w:themeColor="accent1"/>
          <w:sz w:val="24"/>
          <w:szCs w:val="24"/>
        </w:rPr>
        <w:t xml:space="preserve">of </w:t>
      </w:r>
      <w:r w:rsidRPr="00C4001A">
        <w:rPr>
          <w:rFonts w:ascii="Arial" w:eastAsia="Times" w:hAnsi="Arial" w:cs="Arial"/>
          <w:b/>
          <w:bCs/>
          <w:color w:val="4472C4" w:themeColor="accent1"/>
          <w:sz w:val="24"/>
          <w:szCs w:val="24"/>
        </w:rPr>
        <w:t>RFB Program</w:t>
      </w:r>
      <w:r w:rsidR="009E03EC">
        <w:rPr>
          <w:rFonts w:ascii="Arial" w:eastAsia="Times" w:hAnsi="Arial" w:cs="Arial"/>
          <w:b/>
          <w:bCs/>
          <w:color w:val="4472C4" w:themeColor="accent1"/>
          <w:sz w:val="24"/>
          <w:szCs w:val="24"/>
        </w:rPr>
        <w:t>s</w:t>
      </w:r>
      <w:r w:rsidRPr="00C4001A">
        <w:rPr>
          <w:rFonts w:ascii="Arial" w:eastAsia="Times" w:hAnsi="Arial" w:cs="Arial"/>
          <w:b/>
          <w:bCs/>
          <w:color w:val="4472C4" w:themeColor="accent1"/>
          <w:sz w:val="24"/>
          <w:szCs w:val="24"/>
        </w:rPr>
        <w:t xml:space="preserve"> </w:t>
      </w:r>
      <w:r w:rsidR="009E03EC">
        <w:rPr>
          <w:rFonts w:ascii="Arial" w:eastAsia="Times" w:hAnsi="Arial" w:cs="Arial"/>
          <w:b/>
          <w:bCs/>
          <w:color w:val="4472C4" w:themeColor="accent1"/>
          <w:sz w:val="24"/>
          <w:szCs w:val="24"/>
        </w:rPr>
        <w:t xml:space="preserve">and </w:t>
      </w:r>
      <w:r w:rsidRPr="00C4001A">
        <w:rPr>
          <w:rFonts w:ascii="Arial" w:eastAsia="Times" w:hAnsi="Arial" w:cs="Arial"/>
          <w:b/>
          <w:bCs/>
          <w:color w:val="4472C4" w:themeColor="accent1"/>
          <w:sz w:val="24"/>
          <w:szCs w:val="24"/>
        </w:rPr>
        <w:t>Best Practices</w:t>
      </w:r>
    </w:p>
    <w:p w14:paraId="4E150AAE" w14:textId="04F47CE2" w:rsidR="00A24A0C" w:rsidRPr="00A21067" w:rsidRDefault="00A24A0C" w:rsidP="00A24A0C">
      <w:pPr>
        <w:rPr>
          <w:b/>
          <w:bCs/>
        </w:rPr>
      </w:pPr>
      <w:r>
        <w:rPr>
          <w:b/>
          <w:bCs/>
        </w:rPr>
        <w:t xml:space="preserve">Part I. </w:t>
      </w:r>
      <w:r w:rsidRPr="00A21067">
        <w:rPr>
          <w:b/>
          <w:bCs/>
        </w:rPr>
        <w:t xml:space="preserve">General Reflections on </w:t>
      </w:r>
      <w:r>
        <w:rPr>
          <w:b/>
          <w:bCs/>
        </w:rPr>
        <w:t xml:space="preserve">Delaware’s </w:t>
      </w:r>
      <w:r w:rsidRPr="00A21067">
        <w:rPr>
          <w:b/>
          <w:bCs/>
        </w:rPr>
        <w:t>Existing RFB Program</w:t>
      </w:r>
      <w:r>
        <w:rPr>
          <w:b/>
          <w:bCs/>
        </w:rPr>
        <w:t>(s)</w:t>
      </w:r>
      <w:r w:rsidRPr="00A21067">
        <w:rPr>
          <w:b/>
          <w:bCs/>
        </w:rPr>
        <w:t xml:space="preserve"> </w:t>
      </w:r>
    </w:p>
    <w:p w14:paraId="48F0FBBB" w14:textId="6B16D383" w:rsidR="00EA500F" w:rsidRDefault="00977BF2">
      <w:r w:rsidRPr="00977BF2">
        <w:t xml:space="preserve">This portion of the discussion focused on successful elements </w:t>
      </w:r>
      <w:r w:rsidR="00F61B36">
        <w:t xml:space="preserve">of </w:t>
      </w:r>
      <w:r w:rsidRPr="00977BF2">
        <w:t xml:space="preserve">existing RFB programs in </w:t>
      </w:r>
      <w:r w:rsidR="00A24A0C">
        <w:t>Delaware</w:t>
      </w:r>
      <w:r w:rsidRPr="00977BF2">
        <w:t>, as well as challenges. The group considered the following questions:</w:t>
      </w:r>
    </w:p>
    <w:p w14:paraId="4DB5B3B1" w14:textId="374229A9" w:rsidR="00C2216D" w:rsidRDefault="00C2216D" w:rsidP="006F569A">
      <w:pPr>
        <w:pStyle w:val="ListParagraph"/>
        <w:numPr>
          <w:ilvl w:val="0"/>
          <w:numId w:val="13"/>
        </w:numPr>
      </w:pPr>
      <w:r>
        <w:t>H</w:t>
      </w:r>
      <w:r w:rsidRPr="00C2216D">
        <w:t xml:space="preserve">ow </w:t>
      </w:r>
      <w:r>
        <w:t xml:space="preserve">has </w:t>
      </w:r>
      <w:r w:rsidRPr="00C2216D">
        <w:t>buffer rollout gone in recent years</w:t>
      </w:r>
      <w:r>
        <w:t xml:space="preserve"> for programs in your state?</w:t>
      </w:r>
      <w:r w:rsidRPr="00C2216D">
        <w:t xml:space="preserve"> </w:t>
      </w:r>
    </w:p>
    <w:p w14:paraId="7CF96DE8" w14:textId="77777777" w:rsidR="00E24CAF" w:rsidRDefault="006C7EC9" w:rsidP="006F569A">
      <w:pPr>
        <w:pStyle w:val="ListParagraph"/>
        <w:numPr>
          <w:ilvl w:val="0"/>
          <w:numId w:val="13"/>
        </w:numPr>
      </w:pPr>
      <w:r>
        <w:t xml:space="preserve">What elements have worked well in your state and </w:t>
      </w:r>
      <w:r w:rsidR="00A22FCE">
        <w:t>have led to your greatest successes?</w:t>
      </w:r>
      <w:r w:rsidR="009470B0">
        <w:t xml:space="preserve"> </w:t>
      </w:r>
    </w:p>
    <w:p w14:paraId="388EFA23" w14:textId="2C84C800" w:rsidR="006C7EC9" w:rsidRDefault="009470B0" w:rsidP="006F569A">
      <w:pPr>
        <w:pStyle w:val="ListParagraph"/>
        <w:numPr>
          <w:ilvl w:val="0"/>
          <w:numId w:val="13"/>
        </w:numPr>
      </w:pPr>
      <w:r>
        <w:t xml:space="preserve">Do the elements </w:t>
      </w:r>
      <w:r w:rsidR="000F785E">
        <w:t>for success vary between urban and rural locations?</w:t>
      </w:r>
    </w:p>
    <w:p w14:paraId="3DB960A1" w14:textId="77777777" w:rsidR="00DF06A1" w:rsidRDefault="00141DC7" w:rsidP="006F569A">
      <w:pPr>
        <w:pStyle w:val="ListParagraph"/>
        <w:numPr>
          <w:ilvl w:val="0"/>
          <w:numId w:val="13"/>
        </w:numPr>
      </w:pPr>
      <w:r>
        <w:t xml:space="preserve">What are some of the barriers your program </w:t>
      </w:r>
      <w:r w:rsidR="000F785E">
        <w:t xml:space="preserve">faces? </w:t>
      </w:r>
    </w:p>
    <w:p w14:paraId="70F4FDB1" w14:textId="344DF195" w:rsidR="00141DC7" w:rsidRDefault="000F785E" w:rsidP="006F569A">
      <w:pPr>
        <w:pStyle w:val="ListParagraph"/>
        <w:numPr>
          <w:ilvl w:val="0"/>
          <w:numId w:val="13"/>
        </w:numPr>
      </w:pPr>
      <w:r>
        <w:t>Do the</w:t>
      </w:r>
      <w:r w:rsidR="00B6506E">
        <w:t xml:space="preserve"> </w:t>
      </w:r>
      <w:r w:rsidR="00DF06A1">
        <w:t xml:space="preserve">barriers vary </w:t>
      </w:r>
      <w:r>
        <w:t>between urban and rural locations?</w:t>
      </w:r>
    </w:p>
    <w:p w14:paraId="70250429" w14:textId="14A6BDD7" w:rsidR="00977BF2" w:rsidRPr="00977BF2" w:rsidRDefault="009A7023" w:rsidP="00D1057B">
      <w:bookmarkStart w:id="0" w:name="_Hlk98480772"/>
      <w:r>
        <w:t xml:space="preserve">Below is </w:t>
      </w:r>
      <w:r w:rsidR="00977BF2" w:rsidRPr="00977BF2">
        <w:t xml:space="preserve">a narrative summary of the key take-aways from </w:t>
      </w:r>
      <w:r>
        <w:t>Part I of the RFB discussion</w:t>
      </w:r>
      <w:r w:rsidR="00395907">
        <w:t xml:space="preserve">. </w:t>
      </w:r>
    </w:p>
    <w:p w14:paraId="23791D6C" w14:textId="77777777" w:rsidR="00977BF2" w:rsidRDefault="00977BF2" w:rsidP="00D1057B">
      <w:pPr>
        <w:rPr>
          <w:b/>
          <w:bCs/>
        </w:rPr>
      </w:pPr>
    </w:p>
    <w:p w14:paraId="2D39B32D" w14:textId="6BDFDC19" w:rsidR="00D1057B" w:rsidRDefault="00D1057B" w:rsidP="00D1057B">
      <w:pPr>
        <w:rPr>
          <w:b/>
          <w:bCs/>
        </w:rPr>
      </w:pPr>
      <w:r w:rsidRPr="00D1057B">
        <w:rPr>
          <w:b/>
          <w:bCs/>
        </w:rPr>
        <w:t xml:space="preserve">Delaware </w:t>
      </w:r>
      <w:r w:rsidR="004F4F82">
        <w:rPr>
          <w:b/>
          <w:bCs/>
        </w:rPr>
        <w:t>Discussion Summary</w:t>
      </w:r>
    </w:p>
    <w:p w14:paraId="0E8F951A" w14:textId="28741C15" w:rsidR="004F4F82" w:rsidRDefault="00A6376C" w:rsidP="00D1057B">
      <w:pPr>
        <w:rPr>
          <w:b/>
          <w:bCs/>
        </w:rPr>
      </w:pPr>
      <w:r>
        <w:rPr>
          <w:b/>
          <w:bCs/>
        </w:rPr>
        <w:t>Current Successes</w:t>
      </w:r>
      <w:r w:rsidR="00D203DA">
        <w:rPr>
          <w:b/>
          <w:bCs/>
        </w:rPr>
        <w:t>:</w:t>
      </w:r>
    </w:p>
    <w:p w14:paraId="029D88F9" w14:textId="6FD0281D" w:rsidR="00C62EF4" w:rsidRPr="008A1CD8" w:rsidRDefault="00AE190D" w:rsidP="000C1317">
      <w:pPr>
        <w:pStyle w:val="ListParagraph"/>
        <w:numPr>
          <w:ilvl w:val="0"/>
          <w:numId w:val="14"/>
        </w:numPr>
      </w:pPr>
      <w:r>
        <w:t xml:space="preserve">Governor Carney is a significant proponent of trees and tree planting in Delaware. </w:t>
      </w:r>
      <w:r w:rsidR="004F0C2B">
        <w:t xml:space="preserve">His </w:t>
      </w:r>
      <w:r w:rsidR="002C1A7C">
        <w:t>support for tree planting</w:t>
      </w:r>
      <w:r w:rsidR="004F0C2B">
        <w:t>s</w:t>
      </w:r>
      <w:r w:rsidR="002C1A7C">
        <w:t xml:space="preserve"> is likely related to </w:t>
      </w:r>
      <w:r w:rsidR="009E47F0">
        <w:t>Delaware’s C</w:t>
      </w:r>
      <w:r w:rsidR="002C1A7C">
        <w:t xml:space="preserve">limate </w:t>
      </w:r>
      <w:r w:rsidR="009E47F0">
        <w:t>A</w:t>
      </w:r>
      <w:r w:rsidR="002C1A7C">
        <w:t xml:space="preserve">ction </w:t>
      </w:r>
      <w:r w:rsidR="009E47F0">
        <w:t>P</w:t>
      </w:r>
      <w:r w:rsidR="002C1A7C">
        <w:t xml:space="preserve">lan. </w:t>
      </w:r>
      <w:r w:rsidR="009E47F0">
        <w:t>Although water quality protection may not be Governor Carney’s primary goal</w:t>
      </w:r>
      <w:r w:rsidR="004F0C2B">
        <w:t xml:space="preserve"> </w:t>
      </w:r>
      <w:r w:rsidR="00C01C95">
        <w:t>with tree plantings</w:t>
      </w:r>
      <w:r w:rsidR="009E47F0">
        <w:t xml:space="preserve">, his support could be </w:t>
      </w:r>
      <w:r w:rsidR="00AC72E8">
        <w:t>leveraged to help achieve the Chesapeake Bay RFB outcome.</w:t>
      </w:r>
      <w:r w:rsidR="006E4F56" w:rsidRPr="008A1CD8">
        <w:t xml:space="preserve"> </w:t>
      </w:r>
    </w:p>
    <w:p w14:paraId="5B29359A" w14:textId="7424A530" w:rsidR="00C62EF4" w:rsidRPr="008A1CD8" w:rsidRDefault="004B6DF2" w:rsidP="000C1317">
      <w:pPr>
        <w:pStyle w:val="ListParagraph"/>
        <w:numPr>
          <w:ilvl w:val="0"/>
          <w:numId w:val="14"/>
        </w:numPr>
      </w:pPr>
      <w:r>
        <w:t xml:space="preserve">Governor Carney’s </w:t>
      </w:r>
      <w:hyperlink r:id="rId8" w:history="1">
        <w:r w:rsidR="00C62EF4" w:rsidRPr="004B6DF2">
          <w:rPr>
            <w:rStyle w:val="Hyperlink"/>
          </w:rPr>
          <w:t>Tree for Every Delawarean Initiative</w:t>
        </w:r>
      </w:hyperlink>
      <w:r w:rsidR="00C62EF4" w:rsidRPr="008A1CD8">
        <w:t xml:space="preserve"> (TEDI) </w:t>
      </w:r>
      <w:r w:rsidR="00E66A7E">
        <w:t xml:space="preserve">has garnered </w:t>
      </w:r>
      <w:r w:rsidR="00C62EF4" w:rsidRPr="008A1CD8">
        <w:t>a lot of interest and momentum</w:t>
      </w:r>
      <w:r w:rsidR="00F77C51">
        <w:t xml:space="preserve"> with the public</w:t>
      </w:r>
      <w:r w:rsidR="00B2582A" w:rsidRPr="008A1CD8">
        <w:t xml:space="preserve">. </w:t>
      </w:r>
      <w:r w:rsidR="00F77C51">
        <w:t xml:space="preserve">TEDI </w:t>
      </w:r>
      <w:r w:rsidR="000E2D19">
        <w:t xml:space="preserve">directs funding to partners throughout Delaware, with projects in both urban and rural areas. </w:t>
      </w:r>
      <w:r w:rsidR="009B3A8C" w:rsidRPr="009B3A8C">
        <w:t xml:space="preserve">The TEDI tracking tool can track trees planted in the Chesapeake Bay watershed. </w:t>
      </w:r>
    </w:p>
    <w:p w14:paraId="4C3D960F" w14:textId="77777777" w:rsidR="004B6DF2" w:rsidRDefault="004B6DF2" w:rsidP="000C1317">
      <w:pPr>
        <w:pStyle w:val="ListParagraph"/>
        <w:numPr>
          <w:ilvl w:val="0"/>
          <w:numId w:val="14"/>
        </w:numPr>
      </w:pPr>
      <w:r>
        <w:t xml:space="preserve">Land Use successes:  </w:t>
      </w:r>
    </w:p>
    <w:p w14:paraId="00FABDF2" w14:textId="0B2958BA" w:rsidR="00162061" w:rsidRPr="008A1CD8" w:rsidRDefault="00E0605B" w:rsidP="004B6DF2">
      <w:pPr>
        <w:pStyle w:val="ListParagraph"/>
        <w:numPr>
          <w:ilvl w:val="1"/>
          <w:numId w:val="14"/>
        </w:numPr>
      </w:pPr>
      <w:r w:rsidRPr="008A1CD8">
        <w:t xml:space="preserve">The likely path to more </w:t>
      </w:r>
      <w:r w:rsidR="009D0E23">
        <w:t xml:space="preserve">RFB acreage </w:t>
      </w:r>
      <w:r w:rsidRPr="008A1CD8">
        <w:t>in Delaware is through counties. A</w:t>
      </w:r>
      <w:r w:rsidR="00162061" w:rsidRPr="008A1CD8">
        <w:t xml:space="preserve">ctivity </w:t>
      </w:r>
      <w:r w:rsidRPr="008A1CD8">
        <w:t xml:space="preserve">on the </w:t>
      </w:r>
      <w:r w:rsidR="00840759" w:rsidRPr="008A1CD8">
        <w:t>local level</w:t>
      </w:r>
      <w:r w:rsidRPr="008A1CD8">
        <w:t xml:space="preserve"> </w:t>
      </w:r>
      <w:r w:rsidR="00162061" w:rsidRPr="008A1CD8">
        <w:t>related to buffers could be leveraged</w:t>
      </w:r>
      <w:r w:rsidRPr="008A1CD8">
        <w:t xml:space="preserve"> statewide</w:t>
      </w:r>
      <w:r w:rsidR="00162061" w:rsidRPr="008A1CD8">
        <w:t xml:space="preserve">. </w:t>
      </w:r>
    </w:p>
    <w:p w14:paraId="4F440B56" w14:textId="46024632" w:rsidR="006F2F42" w:rsidRPr="008A1CD8" w:rsidRDefault="006F2F42" w:rsidP="004B6DF2">
      <w:pPr>
        <w:pStyle w:val="ListParagraph"/>
        <w:numPr>
          <w:ilvl w:val="2"/>
          <w:numId w:val="14"/>
        </w:numPr>
      </w:pPr>
      <w:r w:rsidRPr="008A1CD8">
        <w:t>New</w:t>
      </w:r>
      <w:r w:rsidR="00B74ECA" w:rsidRPr="008A1CD8">
        <w:t xml:space="preserve"> C</w:t>
      </w:r>
      <w:r w:rsidRPr="008A1CD8">
        <w:t xml:space="preserve">astle County </w:t>
      </w:r>
      <w:r w:rsidR="00B74ECA" w:rsidRPr="008A1CD8">
        <w:t xml:space="preserve">has a riparian buffer </w:t>
      </w:r>
      <w:r w:rsidR="00D921F8" w:rsidRPr="008A1CD8">
        <w:t>area overlay zone ordinance</w:t>
      </w:r>
      <w:r w:rsidR="004B6DF2">
        <w:t xml:space="preserve"> (Ordinance No. 97-044)</w:t>
      </w:r>
      <w:r w:rsidR="00D921F8" w:rsidRPr="008A1CD8">
        <w:t xml:space="preserve">. The </w:t>
      </w:r>
      <w:r w:rsidRPr="008A1CD8">
        <w:t xml:space="preserve">projects </w:t>
      </w:r>
      <w:r w:rsidR="00D921F8" w:rsidRPr="008A1CD8">
        <w:t xml:space="preserve">resulting from this ordinance </w:t>
      </w:r>
      <w:r w:rsidR="005A780A" w:rsidRPr="008A1CD8">
        <w:t xml:space="preserve">have merit. This approach could </w:t>
      </w:r>
      <w:r w:rsidR="001D1BAB" w:rsidRPr="008A1CD8">
        <w:t xml:space="preserve">be beneficial statewide. </w:t>
      </w:r>
    </w:p>
    <w:p w14:paraId="612A1D46" w14:textId="38BCBBB9" w:rsidR="00B666DA" w:rsidRPr="008A1CD8" w:rsidRDefault="007C0FD8" w:rsidP="004B6DF2">
      <w:pPr>
        <w:pStyle w:val="ListParagraph"/>
        <w:numPr>
          <w:ilvl w:val="2"/>
          <w:numId w:val="14"/>
        </w:numPr>
      </w:pPr>
      <w:r w:rsidRPr="008A1CD8">
        <w:t xml:space="preserve">Sussex County </w:t>
      </w:r>
      <w:r w:rsidR="003C7049" w:rsidRPr="008A1CD8">
        <w:t xml:space="preserve">has introduced a new ordinance related to buffers that is under review. </w:t>
      </w:r>
      <w:r w:rsidR="008169A8">
        <w:t xml:space="preserve">This </w:t>
      </w:r>
      <w:r w:rsidR="004B6DF2">
        <w:t xml:space="preserve">complex </w:t>
      </w:r>
      <w:r w:rsidR="008169A8">
        <w:t xml:space="preserve">ordinance </w:t>
      </w:r>
      <w:r w:rsidR="008B4C61">
        <w:t xml:space="preserve">addresses all types of buffers and </w:t>
      </w:r>
      <w:r w:rsidR="008169A8">
        <w:t>does</w:t>
      </w:r>
      <w:r w:rsidR="005C196B">
        <w:t xml:space="preserve"> </w:t>
      </w:r>
      <w:r w:rsidR="008169A8">
        <w:t>n</w:t>
      </w:r>
      <w:r w:rsidR="005C196B">
        <w:t>o</w:t>
      </w:r>
      <w:r w:rsidR="008169A8">
        <w:t xml:space="preserve">t </w:t>
      </w:r>
      <w:r w:rsidR="008B4C61">
        <w:t>focus solely on RFB. T</w:t>
      </w:r>
      <w:r w:rsidR="001D1BAB" w:rsidRPr="008A1CD8">
        <w:t xml:space="preserve">here are some concerns </w:t>
      </w:r>
      <w:r w:rsidR="008B4C61">
        <w:t>about the l</w:t>
      </w:r>
      <w:r w:rsidR="00A340CF" w:rsidRPr="008A1CD8">
        <w:t>oo</w:t>
      </w:r>
      <w:r w:rsidR="008D4FD9">
        <w:t>p</w:t>
      </w:r>
      <w:r w:rsidR="00A340CF" w:rsidRPr="008A1CD8">
        <w:t>holes</w:t>
      </w:r>
      <w:r w:rsidR="008B4C61">
        <w:t xml:space="preserve"> in the ordinance language</w:t>
      </w:r>
      <w:r w:rsidR="00A340CF" w:rsidRPr="008A1CD8">
        <w:t xml:space="preserve">. </w:t>
      </w:r>
      <w:r w:rsidR="00B96DEF" w:rsidRPr="008A1CD8">
        <w:t>The benefit of this ordinance is the conversation around buffer</w:t>
      </w:r>
      <w:r w:rsidR="00F35AC5" w:rsidRPr="008A1CD8">
        <w:t xml:space="preserve">s. </w:t>
      </w:r>
    </w:p>
    <w:p w14:paraId="65420932" w14:textId="3B7A7802" w:rsidR="00F35AC5" w:rsidRPr="004B6DF2" w:rsidRDefault="005C196B" w:rsidP="000C1317">
      <w:pPr>
        <w:pStyle w:val="ListParagraph"/>
        <w:numPr>
          <w:ilvl w:val="0"/>
          <w:numId w:val="14"/>
        </w:numPr>
        <w:rPr>
          <w:b/>
          <w:bCs/>
        </w:rPr>
      </w:pPr>
      <w:r>
        <w:t xml:space="preserve">Although </w:t>
      </w:r>
      <w:r w:rsidR="00604A8E">
        <w:t>g</w:t>
      </w:r>
      <w:r w:rsidR="00F35AC5" w:rsidRPr="008A1CD8">
        <w:t xml:space="preserve">rass buffers are an easier sell </w:t>
      </w:r>
      <w:r w:rsidR="00004339" w:rsidRPr="008A1CD8">
        <w:t>to landowners</w:t>
      </w:r>
      <w:r w:rsidR="00604A8E">
        <w:t xml:space="preserve">, </w:t>
      </w:r>
      <w:r w:rsidR="00F35AC5" w:rsidRPr="008A1CD8">
        <w:t>acceptance of this practice could open the discussion to</w:t>
      </w:r>
      <w:r w:rsidR="003305D5">
        <w:t xml:space="preserve"> RFB</w:t>
      </w:r>
      <w:r w:rsidR="00F35AC5" w:rsidRPr="008A1CD8">
        <w:t>.</w:t>
      </w:r>
    </w:p>
    <w:p w14:paraId="645AA95C" w14:textId="7ADA07F4" w:rsidR="004B6DF2" w:rsidRPr="00BA7C6B" w:rsidRDefault="004B6DF2" w:rsidP="000C1317">
      <w:pPr>
        <w:pStyle w:val="ListParagraph"/>
        <w:numPr>
          <w:ilvl w:val="0"/>
          <w:numId w:val="14"/>
        </w:numPr>
        <w:rPr>
          <w:b/>
          <w:bCs/>
        </w:rPr>
      </w:pPr>
      <w:r>
        <w:t xml:space="preserve">Tax Ditches are a challenge for implementation; however, practitioners are seeing a shift from mowed ditches to maintaining tall buffers/vegetation around tax ditches.  Cost share is available to assist with ditch practices.  </w:t>
      </w:r>
    </w:p>
    <w:p w14:paraId="197024E9" w14:textId="0904B370" w:rsidR="00BA7C6B" w:rsidRDefault="00BA7C6B" w:rsidP="00BA7C6B">
      <w:pPr>
        <w:rPr>
          <w:b/>
          <w:bCs/>
        </w:rPr>
      </w:pPr>
    </w:p>
    <w:p w14:paraId="14648890" w14:textId="77777777" w:rsidR="00BA7C6B" w:rsidRPr="00BA7C6B" w:rsidRDefault="00BA7C6B" w:rsidP="00BA7C6B">
      <w:pPr>
        <w:rPr>
          <w:b/>
          <w:bCs/>
        </w:rPr>
      </w:pPr>
    </w:p>
    <w:p w14:paraId="72F408B3" w14:textId="7B6337AE" w:rsidR="00D203DA" w:rsidRPr="00CE3001" w:rsidRDefault="00A95145" w:rsidP="00D1057B">
      <w:pPr>
        <w:rPr>
          <w:b/>
          <w:bCs/>
        </w:rPr>
      </w:pPr>
      <w:r w:rsidRPr="00CE3001">
        <w:rPr>
          <w:b/>
          <w:bCs/>
        </w:rPr>
        <w:lastRenderedPageBreak/>
        <w:t xml:space="preserve">Current </w:t>
      </w:r>
      <w:r w:rsidR="00D203DA" w:rsidRPr="00CE3001">
        <w:rPr>
          <w:b/>
          <w:bCs/>
        </w:rPr>
        <w:t>Barriers</w:t>
      </w:r>
      <w:r w:rsidRPr="00CE3001">
        <w:rPr>
          <w:b/>
          <w:bCs/>
        </w:rPr>
        <w:t>/Challenges:</w:t>
      </w:r>
    </w:p>
    <w:p w14:paraId="6BD8EA53" w14:textId="73862B8C" w:rsidR="00A95145" w:rsidRDefault="00A95145" w:rsidP="004B6DF2">
      <w:pPr>
        <w:pStyle w:val="ListParagraph"/>
        <w:numPr>
          <w:ilvl w:val="0"/>
          <w:numId w:val="31"/>
        </w:numPr>
      </w:pPr>
      <w:r>
        <w:t xml:space="preserve">Many of the same barriers and challenges identified in Delaware’s past RFB report to the Chesapeake Bay still </w:t>
      </w:r>
      <w:proofErr w:type="gramStart"/>
      <w:r>
        <w:t>exist</w:t>
      </w:r>
      <w:r w:rsidR="005866D7">
        <w:t>:</w:t>
      </w:r>
      <w:proofErr w:type="gramEnd"/>
      <w:r w:rsidR="005866D7">
        <w:t xml:space="preserve"> </w:t>
      </w:r>
      <w:r w:rsidR="00A509C1">
        <w:t>willingness of landowners</w:t>
      </w:r>
      <w:r w:rsidR="005866D7">
        <w:t xml:space="preserve"> to implement RFB; </w:t>
      </w:r>
      <w:r w:rsidR="00A509C1">
        <w:t>tax ditches</w:t>
      </w:r>
      <w:r w:rsidR="00CE3735">
        <w:t xml:space="preserve"> and ditching systems</w:t>
      </w:r>
      <w:r w:rsidR="005866D7">
        <w:t>;</w:t>
      </w:r>
      <w:r w:rsidR="000F7878">
        <w:t xml:space="preserve"> </w:t>
      </w:r>
      <w:r w:rsidR="00CE3735">
        <w:t xml:space="preserve">and constraints on the </w:t>
      </w:r>
      <w:r w:rsidR="00801549">
        <w:t xml:space="preserve">field associated with RFB. </w:t>
      </w:r>
    </w:p>
    <w:p w14:paraId="62EF7200" w14:textId="7BA755AD" w:rsidR="00AB0380" w:rsidRDefault="00C06D7E" w:rsidP="004B6DF2">
      <w:pPr>
        <w:pStyle w:val="ListParagraph"/>
        <w:numPr>
          <w:ilvl w:val="0"/>
          <w:numId w:val="31"/>
        </w:numPr>
      </w:pPr>
      <w:r w:rsidRPr="008A1CD8">
        <w:t>Landowner o</w:t>
      </w:r>
      <w:r w:rsidR="00C62AC5" w:rsidRPr="008A1CD8">
        <w:t xml:space="preserve">pposition to </w:t>
      </w:r>
      <w:r w:rsidR="00560BBB">
        <w:t xml:space="preserve">RFB </w:t>
      </w:r>
      <w:r w:rsidRPr="008A1CD8">
        <w:t>is a sig</w:t>
      </w:r>
      <w:r w:rsidR="00196EFA" w:rsidRPr="008A1CD8">
        <w:t xml:space="preserve">nificant barrier. </w:t>
      </w:r>
      <w:r w:rsidR="00560BBB">
        <w:t xml:space="preserve">This practice is </w:t>
      </w:r>
      <w:r w:rsidR="008A1CD8" w:rsidRPr="008A1CD8">
        <w:t xml:space="preserve">unattractive to farmers and producers </w:t>
      </w:r>
      <w:r w:rsidR="00221A43">
        <w:t>for a variety of reasons, including row crop shading</w:t>
      </w:r>
      <w:r w:rsidR="00EE6A20" w:rsidRPr="00EE6A20">
        <w:t xml:space="preserve"> </w:t>
      </w:r>
      <w:r w:rsidR="00EE6A20">
        <w:t xml:space="preserve">and </w:t>
      </w:r>
      <w:r w:rsidR="000E57E3">
        <w:t xml:space="preserve">taking land out of production. </w:t>
      </w:r>
      <w:r w:rsidR="00196EFA" w:rsidRPr="008A1CD8">
        <w:t xml:space="preserve">Some landowners have </w:t>
      </w:r>
      <w:r w:rsidR="0046775F" w:rsidRPr="008A1CD8">
        <w:t xml:space="preserve">misperceptions </w:t>
      </w:r>
      <w:r w:rsidR="00196EFA" w:rsidRPr="008A1CD8">
        <w:t>about</w:t>
      </w:r>
      <w:r w:rsidR="00377C6B">
        <w:t xml:space="preserve"> RFB</w:t>
      </w:r>
      <w:r w:rsidR="000E57E3">
        <w:t xml:space="preserve"> (e.g., </w:t>
      </w:r>
      <w:r w:rsidR="0046775F" w:rsidRPr="008A1CD8">
        <w:t>tak</w:t>
      </w:r>
      <w:r w:rsidR="000E57E3">
        <w:t>es</w:t>
      </w:r>
      <w:r w:rsidR="0046775F" w:rsidRPr="008A1CD8">
        <w:t xml:space="preserve"> whole fields out of production</w:t>
      </w:r>
      <w:r w:rsidR="000E57E3">
        <w:t>)</w:t>
      </w:r>
      <w:r w:rsidR="00AB0380" w:rsidRPr="008A1CD8">
        <w:t xml:space="preserve">. </w:t>
      </w:r>
    </w:p>
    <w:p w14:paraId="2208B185" w14:textId="7036365A" w:rsidR="00B10002" w:rsidRPr="008A1CD8" w:rsidRDefault="00B10002" w:rsidP="004B6DF2">
      <w:pPr>
        <w:pStyle w:val="ListParagraph"/>
        <w:numPr>
          <w:ilvl w:val="0"/>
          <w:numId w:val="31"/>
        </w:numPr>
      </w:pPr>
      <w:r w:rsidRPr="00B10002">
        <w:t>Department of Agriculture’s Forest Stewardship Program has adequate funding</w:t>
      </w:r>
      <w:r w:rsidR="00E62EE3">
        <w:t xml:space="preserve"> but does not have landowner demand. </w:t>
      </w:r>
      <w:r w:rsidRPr="00B10002">
        <w:t>There is a need for landowner referrals.</w:t>
      </w:r>
    </w:p>
    <w:p w14:paraId="255AE803" w14:textId="3181C07F" w:rsidR="008A1CD8" w:rsidRPr="008A1CD8" w:rsidRDefault="00560BBB" w:rsidP="004B6DF2">
      <w:pPr>
        <w:pStyle w:val="ListParagraph"/>
        <w:numPr>
          <w:ilvl w:val="0"/>
          <w:numId w:val="31"/>
        </w:numPr>
      </w:pPr>
      <w:r>
        <w:t xml:space="preserve">RFB practices </w:t>
      </w:r>
      <w:r w:rsidR="008A1CD8" w:rsidRPr="008A1CD8">
        <w:t>are</w:t>
      </w:r>
      <w:r w:rsidR="009371D8">
        <w:t xml:space="preserve"> not</w:t>
      </w:r>
      <w:r w:rsidR="008A1CD8" w:rsidRPr="008A1CD8">
        <w:t xml:space="preserve"> easy to maintain</w:t>
      </w:r>
      <w:r w:rsidR="009371D8">
        <w:t xml:space="preserve">. For RFB to </w:t>
      </w:r>
      <w:r w:rsidR="008A1CD8" w:rsidRPr="008A1CD8">
        <w:t xml:space="preserve">be successful, </w:t>
      </w:r>
      <w:r w:rsidR="009371D8">
        <w:t xml:space="preserve">the </w:t>
      </w:r>
      <w:r w:rsidR="008A1CD8" w:rsidRPr="008A1CD8">
        <w:t>maintenance must be easy</w:t>
      </w:r>
      <w:r w:rsidR="009371D8">
        <w:t xml:space="preserve"> for landowners</w:t>
      </w:r>
      <w:r w:rsidR="008A1CD8" w:rsidRPr="008A1CD8">
        <w:t xml:space="preserve">. </w:t>
      </w:r>
    </w:p>
    <w:p w14:paraId="1513EBAC" w14:textId="53411FA3" w:rsidR="00051914" w:rsidRDefault="00051914" w:rsidP="004B6DF2">
      <w:pPr>
        <w:pStyle w:val="ListParagraph"/>
        <w:numPr>
          <w:ilvl w:val="0"/>
          <w:numId w:val="31"/>
        </w:numPr>
      </w:pPr>
      <w:r w:rsidRPr="00051914">
        <w:t xml:space="preserve">Another </w:t>
      </w:r>
      <w:r>
        <w:t xml:space="preserve">RFB </w:t>
      </w:r>
      <w:r w:rsidRPr="00051914">
        <w:t xml:space="preserve">program </w:t>
      </w:r>
      <w:r w:rsidR="008D6076">
        <w:t xml:space="preserve">will not </w:t>
      </w:r>
      <w:r w:rsidRPr="00051914">
        <w:t>move Delaware closer to the Chesapeake Bay RFB outcome without legislation. Although there is a need for political backing and legislation, DNREC can</w:t>
      </w:r>
      <w:r w:rsidR="005C196B">
        <w:t>no</w:t>
      </w:r>
      <w:r w:rsidRPr="00051914">
        <w:t>t lobby political leaders.</w:t>
      </w:r>
    </w:p>
    <w:p w14:paraId="27B08FC3" w14:textId="384854E6" w:rsidR="00204B4D" w:rsidRDefault="00204B4D" w:rsidP="004B6DF2">
      <w:pPr>
        <w:pStyle w:val="ListParagraph"/>
        <w:numPr>
          <w:ilvl w:val="0"/>
          <w:numId w:val="31"/>
        </w:numPr>
      </w:pPr>
      <w:r w:rsidRPr="00204B4D">
        <w:t>DNREC does not have land use authority. This lack of authority and lack of legislation limits DNREC’s ability to increase RFB acreage.</w:t>
      </w:r>
    </w:p>
    <w:p w14:paraId="204406F5" w14:textId="5586A14C" w:rsidR="002E5A69" w:rsidRDefault="00394568" w:rsidP="004B6DF2">
      <w:pPr>
        <w:pStyle w:val="ListParagraph"/>
        <w:numPr>
          <w:ilvl w:val="0"/>
          <w:numId w:val="31"/>
        </w:numPr>
      </w:pPr>
      <w:r>
        <w:t>The Conservation Reserve Enhancement Program (</w:t>
      </w:r>
      <w:r w:rsidR="002E5A69" w:rsidRPr="002E5A69">
        <w:t>CREP</w:t>
      </w:r>
      <w:r>
        <w:t>)</w:t>
      </w:r>
      <w:r w:rsidR="002E5A69" w:rsidRPr="002E5A69">
        <w:t xml:space="preserve"> </w:t>
      </w:r>
      <w:r w:rsidR="00FD4660">
        <w:t xml:space="preserve">is successful </w:t>
      </w:r>
      <w:r w:rsidR="005C196B">
        <w:t xml:space="preserve">at </w:t>
      </w:r>
      <w:r w:rsidR="00FD4660">
        <w:t xml:space="preserve">creating RFB acreage, but the </w:t>
      </w:r>
      <w:r w:rsidR="002E5A69" w:rsidRPr="002E5A69">
        <w:t>process is lengthy</w:t>
      </w:r>
      <w:r w:rsidR="00FD4660">
        <w:t xml:space="preserve">, </w:t>
      </w:r>
      <w:r w:rsidR="002E5A69" w:rsidRPr="002E5A69">
        <w:t xml:space="preserve">sometimes </w:t>
      </w:r>
      <w:r w:rsidR="00FD4660">
        <w:t xml:space="preserve">taking </w:t>
      </w:r>
      <w:r w:rsidR="002E5A69" w:rsidRPr="002E5A69">
        <w:t xml:space="preserve">a year or longer. </w:t>
      </w:r>
      <w:r w:rsidR="00FD4660">
        <w:t xml:space="preserve">This timeframe is not feasible </w:t>
      </w:r>
      <w:r w:rsidR="0093565B">
        <w:t>for many landowners.</w:t>
      </w:r>
    </w:p>
    <w:p w14:paraId="5FD53E1A" w14:textId="0CFC9C86" w:rsidR="00A07437" w:rsidRDefault="00A07437" w:rsidP="004B6DF2">
      <w:pPr>
        <w:pStyle w:val="ListParagraph"/>
        <w:numPr>
          <w:ilvl w:val="0"/>
          <w:numId w:val="31"/>
        </w:numPr>
      </w:pPr>
      <w:r w:rsidRPr="00A07437">
        <w:t>There is more interest in and funding for TEDI than there are staff to keep up with the demand for tree projects.</w:t>
      </w:r>
    </w:p>
    <w:p w14:paraId="0E12DE0C" w14:textId="18C53028" w:rsidR="00240B6C" w:rsidRDefault="00282728" w:rsidP="004B6DF2">
      <w:pPr>
        <w:pStyle w:val="ListParagraph"/>
        <w:numPr>
          <w:ilvl w:val="0"/>
          <w:numId w:val="31"/>
        </w:numPr>
      </w:pPr>
      <w:r w:rsidRPr="00282728">
        <w:t xml:space="preserve">TEDI </w:t>
      </w:r>
      <w:r w:rsidR="00732BB1">
        <w:t xml:space="preserve">counts number of trees planted, </w:t>
      </w:r>
      <w:r w:rsidRPr="00282728">
        <w:t xml:space="preserve">but the </w:t>
      </w:r>
      <w:r w:rsidR="00944EB5">
        <w:t xml:space="preserve">Chesapeake Bay RFB </w:t>
      </w:r>
      <w:r w:rsidRPr="00282728">
        <w:t xml:space="preserve">outcome is focused on number of </w:t>
      </w:r>
      <w:r w:rsidR="00732BB1">
        <w:t xml:space="preserve">RFB </w:t>
      </w:r>
      <w:r w:rsidRPr="00282728">
        <w:t xml:space="preserve">acres. Replanting </w:t>
      </w:r>
      <w:r w:rsidR="001C6EF1">
        <w:t xml:space="preserve">trees does not </w:t>
      </w:r>
      <w:r w:rsidR="007D7975">
        <w:t xml:space="preserve">grow </w:t>
      </w:r>
      <w:r w:rsidR="001C6EF1">
        <w:t xml:space="preserve">the </w:t>
      </w:r>
      <w:r w:rsidRPr="00282728">
        <w:t xml:space="preserve">number of </w:t>
      </w:r>
      <w:r w:rsidR="007D7975">
        <w:t xml:space="preserve">RFB </w:t>
      </w:r>
      <w:r w:rsidRPr="00282728">
        <w:t xml:space="preserve">acres. </w:t>
      </w:r>
    </w:p>
    <w:p w14:paraId="644AD2BF" w14:textId="18E859C5" w:rsidR="00E842AA" w:rsidRDefault="00E842AA" w:rsidP="004B6DF2">
      <w:pPr>
        <w:pStyle w:val="ListParagraph"/>
        <w:numPr>
          <w:ilvl w:val="0"/>
          <w:numId w:val="31"/>
        </w:numPr>
      </w:pPr>
      <w:r w:rsidRPr="00E842AA">
        <w:t xml:space="preserve">USDA </w:t>
      </w:r>
      <w:r w:rsidR="00944EB5">
        <w:t xml:space="preserve">acknowledges </w:t>
      </w:r>
      <w:r w:rsidRPr="00E842AA">
        <w:t xml:space="preserve">that the annual </w:t>
      </w:r>
      <w:r>
        <w:t xml:space="preserve">cost-share program </w:t>
      </w:r>
      <w:r w:rsidRPr="00E842AA">
        <w:t xml:space="preserve">funding allocation </w:t>
      </w:r>
      <w:r w:rsidR="00944EB5">
        <w:t xml:space="preserve">will not </w:t>
      </w:r>
      <w:r w:rsidRPr="00E842AA">
        <w:t xml:space="preserve">be sufficient to reach </w:t>
      </w:r>
      <w:r w:rsidR="00944EB5">
        <w:t xml:space="preserve">Chesapeake </w:t>
      </w:r>
      <w:r w:rsidRPr="00E842AA">
        <w:t xml:space="preserve">Bay </w:t>
      </w:r>
      <w:r w:rsidR="00944EB5">
        <w:t xml:space="preserve">RFB </w:t>
      </w:r>
      <w:r w:rsidRPr="00E842AA">
        <w:t>outcomes in Delaware.</w:t>
      </w:r>
    </w:p>
    <w:p w14:paraId="343124A8" w14:textId="6AA08AF0" w:rsidR="00E842AA" w:rsidRPr="008A1CD8" w:rsidRDefault="000B15BB" w:rsidP="004B6DF2">
      <w:pPr>
        <w:pStyle w:val="ListParagraph"/>
        <w:numPr>
          <w:ilvl w:val="0"/>
          <w:numId w:val="31"/>
        </w:numPr>
      </w:pPr>
      <w:r>
        <w:t xml:space="preserve">DNREC has experienced </w:t>
      </w:r>
      <w:r w:rsidR="00624DB9">
        <w:t xml:space="preserve">resistance </w:t>
      </w:r>
      <w:r w:rsidR="009624E7">
        <w:t>in the past for offering incentives for RFB that were too competitive with commodity prices or CREP</w:t>
      </w:r>
      <w:r w:rsidR="00624DB9">
        <w:t xml:space="preserve"> that would result in taking land out of production. </w:t>
      </w:r>
    </w:p>
    <w:p w14:paraId="57A904BF" w14:textId="0467A542" w:rsidR="007068D8" w:rsidRDefault="007068D8">
      <w:pPr>
        <w:rPr>
          <w:b/>
          <w:bCs/>
        </w:rPr>
      </w:pPr>
      <w:bookmarkStart w:id="1" w:name="_Hlk96364321"/>
      <w:bookmarkEnd w:id="0"/>
    </w:p>
    <w:p w14:paraId="18457C72" w14:textId="7D06056F" w:rsidR="00870AD2" w:rsidRDefault="00F754A9" w:rsidP="001B0341">
      <w:r>
        <w:rPr>
          <w:b/>
          <w:bCs/>
        </w:rPr>
        <w:t xml:space="preserve">Part II. </w:t>
      </w:r>
      <w:r w:rsidR="00EB0640">
        <w:rPr>
          <w:b/>
          <w:bCs/>
        </w:rPr>
        <w:t xml:space="preserve">Information </w:t>
      </w:r>
      <w:r w:rsidR="00E93DDA" w:rsidRPr="00870AD2">
        <w:rPr>
          <w:b/>
          <w:bCs/>
        </w:rPr>
        <w:t xml:space="preserve">on </w:t>
      </w:r>
      <w:r w:rsidR="008B4C61">
        <w:rPr>
          <w:b/>
          <w:bCs/>
        </w:rPr>
        <w:t xml:space="preserve">Delaware’s </w:t>
      </w:r>
      <w:r w:rsidR="00E93DDA" w:rsidRPr="00870AD2">
        <w:rPr>
          <w:b/>
          <w:bCs/>
        </w:rPr>
        <w:t>Existing RFB Progra</w:t>
      </w:r>
      <w:r w:rsidR="00A91399">
        <w:rPr>
          <w:b/>
          <w:bCs/>
        </w:rPr>
        <w:t>m(s)</w:t>
      </w:r>
      <w:r w:rsidR="00E93DDA" w:rsidRPr="00870AD2">
        <w:rPr>
          <w:b/>
          <w:bCs/>
        </w:rPr>
        <w:t xml:space="preserve"> Logistics</w:t>
      </w:r>
      <w:r w:rsidR="00870AD2">
        <w:t xml:space="preserve"> </w:t>
      </w:r>
    </w:p>
    <w:p w14:paraId="3AB3AE27" w14:textId="76CF8D92" w:rsidR="005C455B" w:rsidRDefault="005C455B" w:rsidP="001B0341">
      <w:bookmarkStart w:id="2" w:name="_Hlk96366448"/>
      <w:r w:rsidRPr="005C455B">
        <w:t xml:space="preserve">This portion of the discussion focused on program logistics for </w:t>
      </w:r>
      <w:r w:rsidR="00D83BA2">
        <w:t>Delaware</w:t>
      </w:r>
      <w:r w:rsidRPr="005C455B">
        <w:t xml:space="preserve">’s RFB programs in urban and/or rural locations. The group considered how existing RFB programs incorporate these elements now, as well as steps that </w:t>
      </w:r>
      <w:r w:rsidR="00D83BA2">
        <w:t>Delaware</w:t>
      </w:r>
      <w:r w:rsidRPr="005C455B">
        <w:t xml:space="preserve"> is taking to incorporate these elements soon. Where RFB programs may not fully address these elements, discussion participants identified some challenges that might arise in trying to do so. Each element related to program logistics is listed, with the associated discussion summary provided underneath.</w:t>
      </w:r>
    </w:p>
    <w:p w14:paraId="45636234" w14:textId="77777777" w:rsidR="005C455B" w:rsidRDefault="005C455B" w:rsidP="001B0341"/>
    <w:bookmarkEnd w:id="1"/>
    <w:bookmarkEnd w:id="2"/>
    <w:p w14:paraId="3130FD5E" w14:textId="10C74420" w:rsidR="00970D2E" w:rsidRPr="00062503" w:rsidRDefault="00970D2E" w:rsidP="001B0341">
      <w:pPr>
        <w:rPr>
          <w:u w:val="single"/>
        </w:rPr>
      </w:pPr>
      <w:r w:rsidRPr="00062503">
        <w:rPr>
          <w:u w:val="single"/>
        </w:rPr>
        <w:t>Eligibility</w:t>
      </w:r>
      <w:r w:rsidR="00986AB8" w:rsidRPr="00062503">
        <w:rPr>
          <w:u w:val="single"/>
        </w:rPr>
        <w:t xml:space="preserve"> and Flexibility</w:t>
      </w:r>
    </w:p>
    <w:p w14:paraId="242FE676" w14:textId="77777777" w:rsidR="00F15FE2" w:rsidRDefault="00F15FE2" w:rsidP="006352C3">
      <w:pPr>
        <w:pStyle w:val="ListParagraph"/>
        <w:numPr>
          <w:ilvl w:val="0"/>
          <w:numId w:val="15"/>
        </w:numPr>
      </w:pPr>
      <w:r>
        <w:t>Flexible to meet landowner needs</w:t>
      </w:r>
    </w:p>
    <w:p w14:paraId="478D26F6" w14:textId="757BE485" w:rsidR="00F15FE2" w:rsidRDefault="00F15FE2" w:rsidP="006352C3">
      <w:pPr>
        <w:pStyle w:val="ListParagraph"/>
        <w:numPr>
          <w:ilvl w:val="0"/>
          <w:numId w:val="15"/>
        </w:numPr>
      </w:pPr>
      <w:r>
        <w:t>Available to agricultural and non-agricultural landowners</w:t>
      </w:r>
    </w:p>
    <w:p w14:paraId="2CFAAF7D" w14:textId="45D187A8" w:rsidR="00E828D1" w:rsidRPr="00E828D1" w:rsidRDefault="00E828D1" w:rsidP="00D80EF7">
      <w:pPr>
        <w:keepNext/>
        <w:keepLines/>
        <w:rPr>
          <w:b/>
          <w:bCs/>
        </w:rPr>
      </w:pPr>
      <w:bookmarkStart w:id="3" w:name="_Hlk99905746"/>
      <w:r w:rsidRPr="00E828D1">
        <w:rPr>
          <w:b/>
          <w:bCs/>
        </w:rPr>
        <w:lastRenderedPageBreak/>
        <w:t>Delaware Discussion Summary:</w:t>
      </w:r>
    </w:p>
    <w:bookmarkEnd w:id="3"/>
    <w:p w14:paraId="61DE46E3" w14:textId="437B7DAE" w:rsidR="001E4AFC" w:rsidRDefault="0002460C" w:rsidP="00D80EF7">
      <w:pPr>
        <w:pStyle w:val="ListParagraph"/>
        <w:keepNext/>
        <w:keepLines/>
        <w:numPr>
          <w:ilvl w:val="0"/>
          <w:numId w:val="16"/>
        </w:numPr>
      </w:pPr>
      <w:r>
        <w:t>CREP</w:t>
      </w:r>
      <w:r w:rsidR="004B67A9">
        <w:t xml:space="preserve"> is the primary program for RFB implementation, but it is </w:t>
      </w:r>
      <w:r>
        <w:t>not flexible or simple</w:t>
      </w:r>
      <w:r w:rsidR="000F343B">
        <w:t xml:space="preserve"> for landowners to navigat</w:t>
      </w:r>
      <w:r w:rsidR="00E03C2A">
        <w:t>e</w:t>
      </w:r>
      <w:r>
        <w:t xml:space="preserve">. </w:t>
      </w:r>
    </w:p>
    <w:p w14:paraId="51ACEA25" w14:textId="73914E8E" w:rsidR="00953E5B" w:rsidRDefault="001E4AFC" w:rsidP="00D80EF7">
      <w:pPr>
        <w:pStyle w:val="ListParagraph"/>
        <w:keepNext/>
        <w:keepLines/>
        <w:numPr>
          <w:ilvl w:val="0"/>
          <w:numId w:val="16"/>
        </w:numPr>
      </w:pPr>
      <w:r>
        <w:t xml:space="preserve">Funding through TEDI is available for projects in both urban and agricultural areas, but </w:t>
      </w:r>
      <w:r w:rsidR="00953E5B">
        <w:t xml:space="preserve">the process is still complicated due to state contracting complexities and reliance on a variety of partners. </w:t>
      </w:r>
    </w:p>
    <w:p w14:paraId="287F8F54" w14:textId="3BFE3A73" w:rsidR="009047D9" w:rsidRDefault="009047D9" w:rsidP="00D80EF7">
      <w:pPr>
        <w:pStyle w:val="ListParagraph"/>
        <w:keepNext/>
        <w:keepLines/>
        <w:numPr>
          <w:ilvl w:val="0"/>
          <w:numId w:val="16"/>
        </w:numPr>
      </w:pPr>
      <w:r>
        <w:t xml:space="preserve">Funding through </w:t>
      </w:r>
      <w:r w:rsidR="00156BE7">
        <w:t xml:space="preserve">Section </w:t>
      </w:r>
      <w:r>
        <w:t>319 and Chesapeake Bay Implementation Grant</w:t>
      </w:r>
      <w:r w:rsidR="00E17F20">
        <w:t xml:space="preserve"> (CBIG)</w:t>
      </w:r>
      <w:r w:rsidR="00156BE7">
        <w:t xml:space="preserve"> </w:t>
      </w:r>
      <w:r>
        <w:t xml:space="preserve">is available for landowners; however, these are funded on a case-by-case basis.  Funding could be leveraged to assist with an buffer implementation program.  </w:t>
      </w:r>
    </w:p>
    <w:p w14:paraId="56514A9F" w14:textId="0D632E49" w:rsidR="00BA5AAA" w:rsidRDefault="00C9048B" w:rsidP="006352C3">
      <w:pPr>
        <w:pStyle w:val="ListParagraph"/>
        <w:numPr>
          <w:ilvl w:val="0"/>
          <w:numId w:val="16"/>
        </w:numPr>
      </w:pPr>
      <w:r>
        <w:t xml:space="preserve">A single </w:t>
      </w:r>
      <w:r w:rsidR="00A0515F">
        <w:t xml:space="preserve">RFB </w:t>
      </w:r>
      <w:r>
        <w:t xml:space="preserve">program that is simple for landowners to navigate, as opposed to a </w:t>
      </w:r>
      <w:r w:rsidR="00100D54">
        <w:t xml:space="preserve">suite of different programs throughout the state, might be beneficial. </w:t>
      </w:r>
      <w:r w:rsidR="007A6358">
        <w:t xml:space="preserve">However, existing state contracting requirements </w:t>
      </w:r>
      <w:r w:rsidR="00CB25AA">
        <w:t xml:space="preserve">and processes </w:t>
      </w:r>
      <w:r w:rsidR="007A6358">
        <w:t xml:space="preserve">might </w:t>
      </w:r>
      <w:r w:rsidR="00CB25AA">
        <w:t xml:space="preserve">pose as a barrier for the creation of a single, simple program. </w:t>
      </w:r>
    </w:p>
    <w:p w14:paraId="47F36E42" w14:textId="5758BCF3" w:rsidR="009047D9" w:rsidRDefault="009047D9" w:rsidP="009047D9">
      <w:pPr>
        <w:pStyle w:val="ListParagraph"/>
        <w:numPr>
          <w:ilvl w:val="1"/>
          <w:numId w:val="16"/>
        </w:numPr>
      </w:pPr>
      <w:r>
        <w:t xml:space="preserve">For example, CREP can provide rental incentives for 10-15 years. A state buffer program could only fund a rental incentive project short term.  </w:t>
      </w:r>
    </w:p>
    <w:p w14:paraId="07B3524D" w14:textId="3D0E7D79" w:rsidR="00986AB8" w:rsidRPr="00062503" w:rsidRDefault="00986AB8" w:rsidP="001B0341">
      <w:pPr>
        <w:rPr>
          <w:u w:val="single"/>
        </w:rPr>
      </w:pPr>
      <w:r w:rsidRPr="00062503">
        <w:rPr>
          <w:u w:val="single"/>
        </w:rPr>
        <w:t>F</w:t>
      </w:r>
      <w:r w:rsidR="00EB59B6" w:rsidRPr="00062503">
        <w:rPr>
          <w:u w:val="single"/>
        </w:rPr>
        <w:t>unding Processes</w:t>
      </w:r>
    </w:p>
    <w:p w14:paraId="68504097" w14:textId="77777777" w:rsidR="00E47079" w:rsidRDefault="00E47079" w:rsidP="005B0712">
      <w:pPr>
        <w:pStyle w:val="ListParagraph"/>
        <w:numPr>
          <w:ilvl w:val="0"/>
          <w:numId w:val="17"/>
        </w:numPr>
      </w:pPr>
      <w:r>
        <w:t>No out-of-pocket expense for landowners</w:t>
      </w:r>
    </w:p>
    <w:p w14:paraId="6B7FECD5" w14:textId="5220CBC7" w:rsidR="00E47079" w:rsidRDefault="00E47079" w:rsidP="005B0712">
      <w:pPr>
        <w:pStyle w:val="ListParagraph"/>
        <w:numPr>
          <w:ilvl w:val="0"/>
          <w:numId w:val="17"/>
        </w:numPr>
      </w:pPr>
      <w:r>
        <w:t>Sustainable source(s) of funding available “on demand”</w:t>
      </w:r>
    </w:p>
    <w:p w14:paraId="4F367612" w14:textId="5FE1D4EE" w:rsidR="001A5088" w:rsidRPr="001A5088" w:rsidRDefault="001A5088" w:rsidP="001A5088">
      <w:pPr>
        <w:rPr>
          <w:b/>
          <w:bCs/>
        </w:rPr>
      </w:pPr>
      <w:r w:rsidRPr="001A5088">
        <w:rPr>
          <w:b/>
          <w:bCs/>
        </w:rPr>
        <w:t>Delaware Discussion Summary:</w:t>
      </w:r>
    </w:p>
    <w:p w14:paraId="0EE20FA0" w14:textId="02559C8F" w:rsidR="003D16C1" w:rsidRDefault="00C7530A" w:rsidP="002E6E5F">
      <w:pPr>
        <w:pStyle w:val="ListParagraph"/>
        <w:numPr>
          <w:ilvl w:val="0"/>
          <w:numId w:val="19"/>
        </w:numPr>
      </w:pPr>
      <w:r>
        <w:t xml:space="preserve">The idea of </w:t>
      </w:r>
      <w:r w:rsidR="008120AF">
        <w:t xml:space="preserve">funding available </w:t>
      </w:r>
      <w:r>
        <w:t xml:space="preserve">“on-demand” </w:t>
      </w:r>
      <w:r w:rsidR="007A4520">
        <w:t xml:space="preserve">exists with </w:t>
      </w:r>
      <w:r w:rsidR="0097670E">
        <w:t>the Forest Stewardship Program/state cost-share program</w:t>
      </w:r>
      <w:r w:rsidR="007A4520">
        <w:t>, but it</w:t>
      </w:r>
      <w:r w:rsidR="0097670E">
        <w:t xml:space="preserve"> </w:t>
      </w:r>
      <w:r w:rsidR="00145831">
        <w:t xml:space="preserve">is not </w:t>
      </w:r>
      <w:r w:rsidR="0006455C">
        <w:t xml:space="preserve">dedicated program funding. Funding for the state cost-share program </w:t>
      </w:r>
      <w:r w:rsidR="008377E2">
        <w:t xml:space="preserve">is </w:t>
      </w:r>
      <w:r w:rsidR="00145831">
        <w:t xml:space="preserve">transfer-tax money </w:t>
      </w:r>
      <w:r w:rsidR="00553620">
        <w:t>predominantly used as a safety net for EQIP</w:t>
      </w:r>
      <w:r w:rsidR="008377E2">
        <w:t xml:space="preserve"> </w:t>
      </w:r>
      <w:r w:rsidR="007A4520">
        <w:t xml:space="preserve">used at the forester’s </w:t>
      </w:r>
      <w:r w:rsidR="00A17386">
        <w:t>discretion</w:t>
      </w:r>
      <w:r w:rsidR="00531784">
        <w:t xml:space="preserve">. </w:t>
      </w:r>
      <w:r w:rsidR="008377E2">
        <w:t xml:space="preserve">The state cost-share program is </w:t>
      </w:r>
      <w:r w:rsidR="00531784">
        <w:t>a 50</w:t>
      </w:r>
      <w:r w:rsidR="008377E2">
        <w:t xml:space="preserve"> p</w:t>
      </w:r>
      <w:r w:rsidR="004920C2">
        <w:t xml:space="preserve">ercent </w:t>
      </w:r>
      <w:r w:rsidR="00531784">
        <w:t>reimbursement program where the landowner needs to simply show receipts.</w:t>
      </w:r>
      <w:r w:rsidR="008D3F0A">
        <w:t xml:space="preserve"> </w:t>
      </w:r>
      <w:r w:rsidR="004920C2">
        <w:t xml:space="preserve">This funding is </w:t>
      </w:r>
      <w:r w:rsidR="008377E2" w:rsidRPr="008377E2">
        <w:t>use-it-or-lose-it money</w:t>
      </w:r>
      <w:r w:rsidR="004920C2">
        <w:t>; a</w:t>
      </w:r>
      <w:r w:rsidR="008D3F0A">
        <w:t xml:space="preserve">lmost $30K </w:t>
      </w:r>
      <w:r w:rsidR="00EB5A3F">
        <w:t xml:space="preserve">in unused funding is returned </w:t>
      </w:r>
      <w:r w:rsidR="00EB6D95">
        <w:t xml:space="preserve">each year. </w:t>
      </w:r>
    </w:p>
    <w:p w14:paraId="2FD114FC" w14:textId="79071D06" w:rsidR="00F858F6" w:rsidRDefault="009047D9" w:rsidP="003D39F5">
      <w:pPr>
        <w:pStyle w:val="ListParagraph"/>
        <w:numPr>
          <w:ilvl w:val="0"/>
          <w:numId w:val="19"/>
        </w:numPr>
      </w:pPr>
      <w:r>
        <w:t xml:space="preserve">Funding is available through </w:t>
      </w:r>
      <w:r w:rsidR="00156BE7">
        <w:t xml:space="preserve">Section </w:t>
      </w:r>
      <w:r>
        <w:t xml:space="preserve">319 or CBIG funds and are used on-demand.  Synergies could be possible with these funding sources and TEDI to develop a state </w:t>
      </w:r>
      <w:r w:rsidR="00C24AB7">
        <w:t xml:space="preserve">cost-share program funding </w:t>
      </w:r>
      <w:r w:rsidR="0042537B">
        <w:t xml:space="preserve">mechanism </w:t>
      </w:r>
      <w:r>
        <w:t xml:space="preserve">that </w:t>
      </w:r>
      <w:r w:rsidR="00C24AB7">
        <w:t xml:space="preserve">can </w:t>
      </w:r>
      <w:r w:rsidR="00CB7B31">
        <w:t xml:space="preserve">fund </w:t>
      </w:r>
      <w:r w:rsidR="0042537B">
        <w:t xml:space="preserve">implementation and </w:t>
      </w:r>
      <w:r w:rsidR="00AB0ECE">
        <w:t>maintenance but</w:t>
      </w:r>
      <w:r w:rsidR="0042537B">
        <w:t xml:space="preserve"> </w:t>
      </w:r>
      <w:r w:rsidR="00CB7B31">
        <w:t xml:space="preserve">cannot fund </w:t>
      </w:r>
      <w:r w:rsidR="00BD7D1E">
        <w:t xml:space="preserve">annual </w:t>
      </w:r>
      <w:r w:rsidR="00C945F3">
        <w:t>renta</w:t>
      </w:r>
      <w:r w:rsidR="008634BD">
        <w:t>l payments</w:t>
      </w:r>
      <w:r w:rsidR="00C945F3">
        <w:t xml:space="preserve">. </w:t>
      </w:r>
      <w:r w:rsidR="00A41E97">
        <w:t>The state cost</w:t>
      </w:r>
      <w:r w:rsidR="00EE06AD">
        <w:t xml:space="preserve">-share program </w:t>
      </w:r>
      <w:r w:rsidR="00A32997">
        <w:t xml:space="preserve">staff would like </w:t>
      </w:r>
      <w:r w:rsidR="003D4669">
        <w:t xml:space="preserve">funding to cover all costs for </w:t>
      </w:r>
      <w:r w:rsidR="00F858F6">
        <w:t xml:space="preserve">afforestation or </w:t>
      </w:r>
      <w:r w:rsidR="003D4669">
        <w:t xml:space="preserve">RFB. </w:t>
      </w:r>
    </w:p>
    <w:p w14:paraId="1EC8F8DE" w14:textId="77662367" w:rsidR="00986AB8" w:rsidRPr="00062503" w:rsidRDefault="00EB59B6" w:rsidP="001B0341">
      <w:pPr>
        <w:rPr>
          <w:u w:val="single"/>
        </w:rPr>
      </w:pPr>
      <w:r w:rsidRPr="00062503">
        <w:rPr>
          <w:u w:val="single"/>
        </w:rPr>
        <w:t>P</w:t>
      </w:r>
      <w:r w:rsidR="00A02AC1" w:rsidRPr="00062503">
        <w:rPr>
          <w:u w:val="single"/>
        </w:rPr>
        <w:t xml:space="preserve">rogram </w:t>
      </w:r>
      <w:r w:rsidRPr="00062503">
        <w:rPr>
          <w:u w:val="single"/>
        </w:rPr>
        <w:t>S</w:t>
      </w:r>
      <w:r w:rsidR="00A02AC1" w:rsidRPr="00062503">
        <w:rPr>
          <w:u w:val="single"/>
        </w:rPr>
        <w:t xml:space="preserve">ervices </w:t>
      </w:r>
    </w:p>
    <w:p w14:paraId="4458B92E" w14:textId="77777777" w:rsidR="007C7FA4" w:rsidRDefault="007C7FA4" w:rsidP="002E6E5F">
      <w:pPr>
        <w:pStyle w:val="ListParagraph"/>
        <w:numPr>
          <w:ilvl w:val="0"/>
          <w:numId w:val="20"/>
        </w:numPr>
      </w:pPr>
      <w:r>
        <w:t xml:space="preserve">Technical assistance provided </w:t>
      </w:r>
    </w:p>
    <w:p w14:paraId="2752F05D" w14:textId="1AC4EE62" w:rsidR="00A02AC1" w:rsidRDefault="007C7FA4" w:rsidP="002E6E5F">
      <w:pPr>
        <w:pStyle w:val="ListParagraph"/>
        <w:numPr>
          <w:ilvl w:val="0"/>
          <w:numId w:val="20"/>
        </w:numPr>
      </w:pPr>
      <w:r>
        <w:t>Maintenance provided</w:t>
      </w:r>
    </w:p>
    <w:p w14:paraId="5E62D54A" w14:textId="0C1F3A0C" w:rsidR="001A5088" w:rsidRPr="002E6E5F" w:rsidRDefault="001A5088" w:rsidP="001B0341">
      <w:pPr>
        <w:rPr>
          <w:b/>
          <w:bCs/>
        </w:rPr>
      </w:pPr>
      <w:bookmarkStart w:id="4" w:name="_Hlk100178748"/>
      <w:bookmarkStart w:id="5" w:name="_Hlk96364442"/>
      <w:r w:rsidRPr="002E6E5F">
        <w:rPr>
          <w:b/>
          <w:bCs/>
        </w:rPr>
        <w:t>Delaware Discussion Summary:</w:t>
      </w:r>
    </w:p>
    <w:bookmarkEnd w:id="4"/>
    <w:p w14:paraId="2429CE81" w14:textId="6029BBA0" w:rsidR="002E5A69" w:rsidRDefault="009F7B7D" w:rsidP="00062E1E">
      <w:pPr>
        <w:pStyle w:val="ListParagraph"/>
        <w:numPr>
          <w:ilvl w:val="0"/>
          <w:numId w:val="23"/>
        </w:numPr>
      </w:pPr>
      <w:r>
        <w:t xml:space="preserve">Forest Stewardship Program provides landowners with assistance in developing plans. </w:t>
      </w:r>
    </w:p>
    <w:p w14:paraId="3C0FE26F" w14:textId="0849A23D" w:rsidR="00503480" w:rsidRDefault="00503480" w:rsidP="00062E1E">
      <w:pPr>
        <w:pStyle w:val="ListParagraph"/>
        <w:numPr>
          <w:ilvl w:val="0"/>
          <w:numId w:val="23"/>
        </w:numPr>
      </w:pPr>
      <w:r w:rsidRPr="00503480">
        <w:t>It is important to understand what type of landowner is requesting what type of practice: is it tried and true producers or is it new/underserved landowners? Understanding landowners’ characteristics will help agency staff understand the different type of</w:t>
      </w:r>
      <w:r>
        <w:t xml:space="preserve"> technical and maintenance</w:t>
      </w:r>
      <w:r w:rsidRPr="00503480">
        <w:t xml:space="preserve"> services needed for these specific types of landowners.</w:t>
      </w:r>
    </w:p>
    <w:p w14:paraId="692F87D9" w14:textId="72285120" w:rsidR="0063628A" w:rsidRPr="00062503" w:rsidRDefault="006A69E1" w:rsidP="00D80EF7">
      <w:pPr>
        <w:keepNext/>
        <w:keepLines/>
        <w:rPr>
          <w:u w:val="single"/>
        </w:rPr>
      </w:pPr>
      <w:r w:rsidRPr="00062503">
        <w:rPr>
          <w:u w:val="single"/>
        </w:rPr>
        <w:lastRenderedPageBreak/>
        <w:t>Program Integration/Synergy</w:t>
      </w:r>
    </w:p>
    <w:bookmarkEnd w:id="5"/>
    <w:p w14:paraId="0B67BB86" w14:textId="4735688E" w:rsidR="006909D4" w:rsidRDefault="00A96866" w:rsidP="00D80EF7">
      <w:pPr>
        <w:pStyle w:val="ListParagraph"/>
        <w:keepNext/>
        <w:keepLines/>
        <w:numPr>
          <w:ilvl w:val="0"/>
          <w:numId w:val="21"/>
        </w:numPr>
      </w:pPr>
      <w:r>
        <w:t>Integration of buffers into other existing like-minded state programs</w:t>
      </w:r>
      <w:r w:rsidR="0044253C">
        <w:t xml:space="preserve"> (for example, land conservation</w:t>
      </w:r>
      <w:r w:rsidR="002B4B96">
        <w:t xml:space="preserve"> and the state revolving loan fund program</w:t>
      </w:r>
      <w:r w:rsidR="0044253C">
        <w:t xml:space="preserve">) </w:t>
      </w:r>
    </w:p>
    <w:p w14:paraId="7C0F194E" w14:textId="3EBDC782" w:rsidR="00FC04E8" w:rsidRDefault="00FC04E8" w:rsidP="0005414F">
      <w:pPr>
        <w:pStyle w:val="ListParagraph"/>
        <w:numPr>
          <w:ilvl w:val="0"/>
          <w:numId w:val="21"/>
        </w:numPr>
      </w:pPr>
      <w:r>
        <w:t>Opportunities to pair programs and funding</w:t>
      </w:r>
    </w:p>
    <w:p w14:paraId="62BEE49B" w14:textId="64285CF1" w:rsidR="006909D4" w:rsidRPr="00062E1E" w:rsidRDefault="00062E1E" w:rsidP="001B0341">
      <w:pPr>
        <w:rPr>
          <w:b/>
          <w:bCs/>
        </w:rPr>
      </w:pPr>
      <w:r w:rsidRPr="00062E1E">
        <w:rPr>
          <w:b/>
          <w:bCs/>
        </w:rPr>
        <w:t>Delaware Discussion Summary:</w:t>
      </w:r>
    </w:p>
    <w:p w14:paraId="793FE2AE" w14:textId="227220AE" w:rsidR="00D1057B" w:rsidRPr="00E01ECE" w:rsidRDefault="00EA3414" w:rsidP="00062E1E">
      <w:pPr>
        <w:pStyle w:val="ListParagraph"/>
        <w:numPr>
          <w:ilvl w:val="0"/>
          <w:numId w:val="22"/>
        </w:numPr>
      </w:pPr>
      <w:r w:rsidRPr="00E01ECE">
        <w:t>TEDI</w:t>
      </w:r>
      <w:r w:rsidR="00E17F20">
        <w:t>, Section 319, and CBIG</w:t>
      </w:r>
      <w:r w:rsidRPr="00E01ECE">
        <w:t xml:space="preserve"> </w:t>
      </w:r>
      <w:r w:rsidR="00F069BD" w:rsidRPr="00E01ECE">
        <w:t xml:space="preserve">currently </w:t>
      </w:r>
      <w:r w:rsidRPr="00E01ECE">
        <w:t>rel</w:t>
      </w:r>
      <w:r w:rsidR="00E17F20">
        <w:t>y</w:t>
      </w:r>
      <w:r w:rsidRPr="00E01ECE">
        <w:t xml:space="preserve"> heavily on </w:t>
      </w:r>
      <w:r w:rsidR="0027287D">
        <w:t xml:space="preserve">a variety of </w:t>
      </w:r>
      <w:r w:rsidRPr="00E01ECE">
        <w:t>partners</w:t>
      </w:r>
      <w:r w:rsidR="00006E37">
        <w:t xml:space="preserve"> to disperse funding for </w:t>
      </w:r>
      <w:r w:rsidR="00067772">
        <w:t>tree projects through existing programs</w:t>
      </w:r>
      <w:r w:rsidRPr="00E01ECE">
        <w:t xml:space="preserve">. </w:t>
      </w:r>
      <w:r w:rsidR="0027287D">
        <w:t xml:space="preserve">For example, </w:t>
      </w:r>
      <w:r w:rsidR="00A23B12" w:rsidRPr="00E01ECE">
        <w:t>Delaware</w:t>
      </w:r>
      <w:r w:rsidR="008F5D21" w:rsidRPr="00E01ECE">
        <w:t xml:space="preserve"> Department of Agriculture’s </w:t>
      </w:r>
      <w:r w:rsidR="00A23B12" w:rsidRPr="00E01ECE">
        <w:t xml:space="preserve">Urban </w:t>
      </w:r>
      <w:r w:rsidR="007A1361" w:rsidRPr="00E01ECE">
        <w:t>and Community Forestry Program</w:t>
      </w:r>
      <w:r w:rsidR="00AD2829" w:rsidRPr="00E01ECE">
        <w:t xml:space="preserve"> </w:t>
      </w:r>
      <w:r w:rsidR="00A25C78" w:rsidRPr="00E01ECE">
        <w:t xml:space="preserve">is a conduit </w:t>
      </w:r>
      <w:r w:rsidR="00397928" w:rsidRPr="00E01ECE">
        <w:t xml:space="preserve">for </w:t>
      </w:r>
      <w:r w:rsidR="00E17F20">
        <w:t xml:space="preserve">Section 319, CBIG and </w:t>
      </w:r>
      <w:r w:rsidR="00397928" w:rsidRPr="00E01ECE">
        <w:t>TEDI money for urban trees</w:t>
      </w:r>
      <w:r w:rsidR="002E5A69" w:rsidRPr="00E01ECE">
        <w:t xml:space="preserve">. </w:t>
      </w:r>
      <w:r w:rsidR="00E17F20">
        <w:t xml:space="preserve">CBIG funding has been provided to Delaware Forest Service (DFS) for buffer plantings, in the past. </w:t>
      </w:r>
    </w:p>
    <w:p w14:paraId="17C4BC31" w14:textId="14608580" w:rsidR="00CD0EB5" w:rsidRPr="00E01ECE" w:rsidRDefault="00CD0EB5" w:rsidP="00062E1E">
      <w:pPr>
        <w:pStyle w:val="ListParagraph"/>
        <w:numPr>
          <w:ilvl w:val="0"/>
          <w:numId w:val="22"/>
        </w:numPr>
      </w:pPr>
      <w:r w:rsidRPr="00E01ECE">
        <w:t>Forest</w:t>
      </w:r>
      <w:r w:rsidR="0022096F">
        <w:t xml:space="preserve"> Stewardship Program</w:t>
      </w:r>
      <w:r w:rsidRPr="00E01ECE">
        <w:t xml:space="preserve"> </w:t>
      </w:r>
      <w:r w:rsidR="00062E1E">
        <w:t xml:space="preserve">staff would like to </w:t>
      </w:r>
      <w:r w:rsidRPr="00E01ECE">
        <w:t>bolster their program</w:t>
      </w:r>
      <w:r w:rsidR="00AB0D8A" w:rsidRPr="00E01ECE">
        <w:t xml:space="preserve"> with TEDI funding</w:t>
      </w:r>
      <w:r w:rsidR="00715D50">
        <w:t xml:space="preserve">. </w:t>
      </w:r>
    </w:p>
    <w:p w14:paraId="44979595" w14:textId="77777777" w:rsidR="00D1057B" w:rsidRDefault="00D1057B" w:rsidP="006909D4">
      <w:pPr>
        <w:rPr>
          <w:b/>
          <w:bCs/>
        </w:rPr>
      </w:pPr>
    </w:p>
    <w:p w14:paraId="0753058C" w14:textId="292912A0" w:rsidR="006909D4" w:rsidRPr="0007690D" w:rsidRDefault="0007690D" w:rsidP="006909D4">
      <w:pPr>
        <w:rPr>
          <w:b/>
          <w:bCs/>
        </w:rPr>
      </w:pPr>
      <w:r w:rsidRPr="0007690D">
        <w:rPr>
          <w:b/>
          <w:bCs/>
        </w:rPr>
        <w:t xml:space="preserve">Part III. </w:t>
      </w:r>
      <w:r w:rsidR="00EB0640">
        <w:rPr>
          <w:b/>
          <w:bCs/>
        </w:rPr>
        <w:t>Information</w:t>
      </w:r>
      <w:r w:rsidR="006909D4" w:rsidRPr="0007690D">
        <w:rPr>
          <w:b/>
          <w:bCs/>
        </w:rPr>
        <w:t xml:space="preserve"> on </w:t>
      </w:r>
      <w:r w:rsidR="00EB0640">
        <w:rPr>
          <w:b/>
          <w:bCs/>
        </w:rPr>
        <w:t xml:space="preserve">Enabling Conditions for </w:t>
      </w:r>
      <w:r w:rsidR="00E87D8E">
        <w:rPr>
          <w:b/>
          <w:bCs/>
        </w:rPr>
        <w:t xml:space="preserve">Delaware’s </w:t>
      </w:r>
      <w:r w:rsidR="006909D4" w:rsidRPr="0007690D">
        <w:rPr>
          <w:b/>
          <w:bCs/>
        </w:rPr>
        <w:t>Existing RFB Program</w:t>
      </w:r>
      <w:r w:rsidR="00EB0640">
        <w:rPr>
          <w:b/>
          <w:bCs/>
        </w:rPr>
        <w:t>s</w:t>
      </w:r>
    </w:p>
    <w:p w14:paraId="73D80633" w14:textId="0FA6046D" w:rsidR="0007690D" w:rsidRDefault="00E87D8E" w:rsidP="006909D4">
      <w:r w:rsidRPr="00E87D8E">
        <w:t xml:space="preserve">Discussion participants considered how </w:t>
      </w:r>
      <w:r>
        <w:t>Delaware</w:t>
      </w:r>
      <w:r w:rsidRPr="00E87D8E">
        <w:t xml:space="preserve">’s RFB programs incorporate enabling conditions now and steps that Pennsylvania is taking to incorporate these conditions in the near-term. The group mentioned where programs may not have these conditions in place and </w:t>
      </w:r>
      <w:proofErr w:type="gramStart"/>
      <w:r w:rsidRPr="00E87D8E">
        <w:t>challenges</w:t>
      </w:r>
      <w:proofErr w:type="gramEnd"/>
      <w:r w:rsidRPr="00E87D8E">
        <w:t xml:space="preserve"> they would face in providing these enabling conditions. Each element related to program logistics is listed, with the associated discussion summary provided underneath.</w:t>
      </w:r>
    </w:p>
    <w:p w14:paraId="5474242A" w14:textId="38370C36" w:rsidR="00B331B2" w:rsidRPr="00B331B2" w:rsidRDefault="005275A6" w:rsidP="00B331B2">
      <w:pPr>
        <w:rPr>
          <w:u w:val="single"/>
        </w:rPr>
      </w:pPr>
      <w:r>
        <w:rPr>
          <w:u w:val="single"/>
        </w:rPr>
        <w:t xml:space="preserve">Supporting </w:t>
      </w:r>
      <w:r w:rsidR="00B331B2" w:rsidRPr="00B331B2">
        <w:rPr>
          <w:u w:val="single"/>
        </w:rPr>
        <w:t>Planning and Policy</w:t>
      </w:r>
      <w:r>
        <w:rPr>
          <w:u w:val="single"/>
        </w:rPr>
        <w:t xml:space="preserve"> </w:t>
      </w:r>
    </w:p>
    <w:p w14:paraId="069C3880" w14:textId="77777777" w:rsidR="00B331B2" w:rsidRDefault="00B331B2" w:rsidP="003E7AAD">
      <w:pPr>
        <w:pStyle w:val="ListParagraph"/>
        <w:numPr>
          <w:ilvl w:val="0"/>
          <w:numId w:val="24"/>
        </w:numPr>
      </w:pPr>
      <w:r>
        <w:t>High-level coordination and direction at state-level (including a state Buffer Strategy)</w:t>
      </w:r>
    </w:p>
    <w:p w14:paraId="323046CA" w14:textId="77777777" w:rsidR="00B331B2" w:rsidRDefault="00B331B2" w:rsidP="003E7AAD">
      <w:pPr>
        <w:pStyle w:val="ListParagraph"/>
        <w:numPr>
          <w:ilvl w:val="0"/>
          <w:numId w:val="24"/>
        </w:numPr>
      </w:pPr>
      <w:r>
        <w:t xml:space="preserve">State or local policies supporting buffer restoration or conservation  </w:t>
      </w:r>
    </w:p>
    <w:p w14:paraId="01188762" w14:textId="77777777" w:rsidR="00B331B2" w:rsidRDefault="00B331B2" w:rsidP="003E7AAD">
      <w:pPr>
        <w:pStyle w:val="ListParagraph"/>
        <w:numPr>
          <w:ilvl w:val="0"/>
          <w:numId w:val="24"/>
        </w:numPr>
      </w:pPr>
      <w:r>
        <w:t>Local government engagement to incorporate buffers in planning efforts</w:t>
      </w:r>
    </w:p>
    <w:p w14:paraId="40D59A80" w14:textId="1086DDF5" w:rsidR="00B331B2" w:rsidRDefault="00B331B2" w:rsidP="003E7AAD">
      <w:pPr>
        <w:pStyle w:val="ListParagraph"/>
        <w:numPr>
          <w:ilvl w:val="0"/>
          <w:numId w:val="24"/>
        </w:numPr>
      </w:pPr>
      <w:r>
        <w:t xml:space="preserve">Information on where to prioritize buffer plantings based on areas with the highest potential impact, the greatest opportunity, or other criteria  </w:t>
      </w:r>
    </w:p>
    <w:p w14:paraId="1F522E57" w14:textId="5CADA1FF" w:rsidR="008B3878" w:rsidRPr="003E7AAD" w:rsidRDefault="003E7AAD" w:rsidP="00F2721D">
      <w:pPr>
        <w:rPr>
          <w:b/>
          <w:bCs/>
        </w:rPr>
      </w:pPr>
      <w:bookmarkStart w:id="6" w:name="_Hlk100178953"/>
      <w:r w:rsidRPr="003E7AAD">
        <w:rPr>
          <w:b/>
          <w:bCs/>
        </w:rPr>
        <w:t>Delaware Discussion Summary:</w:t>
      </w:r>
    </w:p>
    <w:bookmarkEnd w:id="6"/>
    <w:p w14:paraId="1005D143" w14:textId="729CAEA7" w:rsidR="00485DA9" w:rsidRDefault="00485DA9" w:rsidP="004F38CE">
      <w:pPr>
        <w:pStyle w:val="ListParagraph"/>
        <w:numPr>
          <w:ilvl w:val="0"/>
          <w:numId w:val="25"/>
        </w:numPr>
      </w:pPr>
      <w:r>
        <w:t>DNREC has tried</w:t>
      </w:r>
      <w:r w:rsidR="00B5522F">
        <w:t xml:space="preserve"> </w:t>
      </w:r>
      <w:r>
        <w:t xml:space="preserve">to have legislation passed </w:t>
      </w:r>
      <w:r w:rsidR="00022C0A">
        <w:t xml:space="preserve">that would help </w:t>
      </w:r>
      <w:r w:rsidR="00905A04">
        <w:t>increase RFB acreage</w:t>
      </w:r>
      <w:r w:rsidR="009047D9">
        <w:t xml:space="preserve"> in the inland </w:t>
      </w:r>
      <w:proofErr w:type="gramStart"/>
      <w:r w:rsidR="009047D9">
        <w:t>bays</w:t>
      </w:r>
      <w:proofErr w:type="gramEnd"/>
      <w:r w:rsidR="009047D9">
        <w:t xml:space="preserve"> watershed</w:t>
      </w:r>
      <w:r w:rsidR="00B5522F">
        <w:t xml:space="preserve">, but this type of effort has been </w:t>
      </w:r>
      <w:r w:rsidR="00716DF6">
        <w:t>met with resistance and legal challenges</w:t>
      </w:r>
      <w:r w:rsidR="00395907">
        <w:t xml:space="preserve">. </w:t>
      </w:r>
    </w:p>
    <w:p w14:paraId="30D8DE36" w14:textId="194DAA03" w:rsidR="00905A04" w:rsidRDefault="007B6DAE" w:rsidP="004F38CE">
      <w:pPr>
        <w:pStyle w:val="ListParagraph"/>
        <w:numPr>
          <w:ilvl w:val="0"/>
          <w:numId w:val="25"/>
        </w:numPr>
      </w:pPr>
      <w:r>
        <w:t xml:space="preserve">DNREC has raised the possibility of using state land acquisition as an </w:t>
      </w:r>
      <w:r w:rsidR="007804F4">
        <w:t xml:space="preserve">approach </w:t>
      </w:r>
      <w:r w:rsidR="00B956DE">
        <w:t>to increasing RFB acreage</w:t>
      </w:r>
      <w:r>
        <w:t>.</w:t>
      </w:r>
    </w:p>
    <w:p w14:paraId="20FDAED6" w14:textId="1411EFA0" w:rsidR="00F2721D" w:rsidRDefault="00BD2C1B" w:rsidP="004F38CE">
      <w:pPr>
        <w:pStyle w:val="ListParagraph"/>
        <w:numPr>
          <w:ilvl w:val="0"/>
          <w:numId w:val="25"/>
        </w:numPr>
      </w:pPr>
      <w:r>
        <w:t xml:space="preserve">There are examples of county buffer ordinances in development. There is some concern, however, </w:t>
      </w:r>
      <w:r w:rsidR="00F44F78">
        <w:t xml:space="preserve">about </w:t>
      </w:r>
      <w:r>
        <w:t xml:space="preserve">whether </w:t>
      </w:r>
      <w:r w:rsidR="00F44F78">
        <w:t xml:space="preserve">the requirements </w:t>
      </w:r>
      <w:r>
        <w:t xml:space="preserve">will </w:t>
      </w:r>
      <w:r w:rsidR="00F44F78">
        <w:t>result</w:t>
      </w:r>
      <w:r w:rsidR="007A4DAC">
        <w:t xml:space="preserve"> in actual buffers. Another issue is that these ordinances do</w:t>
      </w:r>
      <w:r w:rsidR="003446C2">
        <w:t xml:space="preserve"> </w:t>
      </w:r>
      <w:r w:rsidR="007A4DAC">
        <w:t>n</w:t>
      </w:r>
      <w:r w:rsidR="003446C2">
        <w:t>o</w:t>
      </w:r>
      <w:r w:rsidR="007A4DAC">
        <w:t>t always focus on RFB</w:t>
      </w:r>
      <w:r w:rsidR="00395907">
        <w:t xml:space="preserve">. </w:t>
      </w:r>
    </w:p>
    <w:p w14:paraId="72912524" w14:textId="22C8C33D" w:rsidR="00FD542F" w:rsidRDefault="00FD542F" w:rsidP="004F38CE">
      <w:pPr>
        <w:pStyle w:val="ListParagraph"/>
        <w:numPr>
          <w:ilvl w:val="0"/>
          <w:numId w:val="25"/>
        </w:numPr>
      </w:pPr>
      <w:r>
        <w:t>Li</w:t>
      </w:r>
      <w:r w:rsidR="00933A28">
        <w:t xml:space="preserve">DAR </w:t>
      </w:r>
      <w:r w:rsidR="00A82C03">
        <w:t xml:space="preserve">imaging helps to show where Delaware is with buffer progress in urban, suburban, and rural areas. </w:t>
      </w:r>
    </w:p>
    <w:p w14:paraId="0AF6BAC7" w14:textId="36681FF0" w:rsidR="00A82C03" w:rsidRDefault="00A82C03" w:rsidP="00F2721D"/>
    <w:p w14:paraId="5E6859D6" w14:textId="6EDF071B" w:rsidR="00B331B2" w:rsidRDefault="007876CE" w:rsidP="006909D4">
      <w:pPr>
        <w:rPr>
          <w:u w:val="single"/>
        </w:rPr>
      </w:pPr>
      <w:r>
        <w:rPr>
          <w:u w:val="single"/>
        </w:rPr>
        <w:t>Financial and human resources capacity</w:t>
      </w:r>
    </w:p>
    <w:p w14:paraId="5CB77896" w14:textId="74D04A36" w:rsidR="007876CE" w:rsidRDefault="007876CE" w:rsidP="004F38CE">
      <w:pPr>
        <w:pStyle w:val="ListParagraph"/>
        <w:numPr>
          <w:ilvl w:val="0"/>
          <w:numId w:val="26"/>
        </w:numPr>
      </w:pPr>
      <w:r>
        <w:t>State has adequate staff to effectively implement programs</w:t>
      </w:r>
    </w:p>
    <w:p w14:paraId="75BC019C" w14:textId="4BA52B6D" w:rsidR="007876CE" w:rsidRDefault="007876CE" w:rsidP="004F38CE">
      <w:pPr>
        <w:pStyle w:val="ListParagraph"/>
        <w:numPr>
          <w:ilvl w:val="0"/>
          <w:numId w:val="26"/>
        </w:numPr>
      </w:pPr>
      <w:r>
        <w:lastRenderedPageBreak/>
        <w:t>Programs have adequate funding to meet demand for buffers</w:t>
      </w:r>
    </w:p>
    <w:p w14:paraId="1A7FC9A5" w14:textId="214571DD" w:rsidR="002E2E85" w:rsidRPr="004F38CE" w:rsidRDefault="004F38CE" w:rsidP="002E2E85">
      <w:pPr>
        <w:rPr>
          <w:b/>
          <w:bCs/>
        </w:rPr>
      </w:pPr>
      <w:bookmarkStart w:id="7" w:name="_Hlk100180494"/>
      <w:r w:rsidRPr="004F38CE">
        <w:rPr>
          <w:b/>
          <w:bCs/>
        </w:rPr>
        <w:t>Delaware Discussion Summary:</w:t>
      </w:r>
      <w:bookmarkEnd w:id="7"/>
    </w:p>
    <w:p w14:paraId="70F03562" w14:textId="55FD991D" w:rsidR="00093E66" w:rsidRDefault="00093E66" w:rsidP="008B4C61">
      <w:pPr>
        <w:pStyle w:val="ListParagraph"/>
        <w:numPr>
          <w:ilvl w:val="0"/>
          <w:numId w:val="30"/>
        </w:numPr>
      </w:pPr>
      <w:bookmarkStart w:id="8" w:name="_Hlk99566178"/>
      <w:r>
        <w:t xml:space="preserve">TEDI </w:t>
      </w:r>
      <w:r w:rsidR="004B6DF2">
        <w:t xml:space="preserve">Program has </w:t>
      </w:r>
      <w:r>
        <w:t>funding</w:t>
      </w:r>
      <w:r w:rsidR="004B6DF2">
        <w:t xml:space="preserve">; however, there is a need for additional funding and staff.  Currently, there </w:t>
      </w:r>
      <w:r>
        <w:t xml:space="preserve">not adequate staff to keep up with the demand for tree plantings. </w:t>
      </w:r>
    </w:p>
    <w:p w14:paraId="5B357183" w14:textId="0F227FDB" w:rsidR="002E2E85" w:rsidRDefault="00CB2184" w:rsidP="008B4C61">
      <w:pPr>
        <w:pStyle w:val="ListParagraph"/>
        <w:numPr>
          <w:ilvl w:val="0"/>
          <w:numId w:val="30"/>
        </w:numPr>
      </w:pPr>
      <w:r>
        <w:t>Department of Agriculture’s Forest S</w:t>
      </w:r>
      <w:r w:rsidR="002E2E85">
        <w:t xml:space="preserve">tewardship </w:t>
      </w:r>
      <w:r>
        <w:t>P</w:t>
      </w:r>
      <w:r w:rsidR="002E2E85">
        <w:t xml:space="preserve">rogram </w:t>
      </w:r>
      <w:r w:rsidR="002E3332">
        <w:t>has adequate funding; the issue is that this program does</w:t>
      </w:r>
      <w:r w:rsidR="00395907">
        <w:t xml:space="preserve"> </w:t>
      </w:r>
      <w:r w:rsidR="002E3332">
        <w:t>n</w:t>
      </w:r>
      <w:r w:rsidR="00395907">
        <w:t>o</w:t>
      </w:r>
      <w:r w:rsidR="002E3332">
        <w:t xml:space="preserve">t have demand. </w:t>
      </w:r>
    </w:p>
    <w:bookmarkEnd w:id="8"/>
    <w:p w14:paraId="29AF56E3" w14:textId="23258146" w:rsidR="006D07C4" w:rsidRDefault="006D07C4" w:rsidP="008B4C61">
      <w:pPr>
        <w:pStyle w:val="ListParagraph"/>
        <w:numPr>
          <w:ilvl w:val="0"/>
          <w:numId w:val="30"/>
        </w:numPr>
      </w:pPr>
      <w:r w:rsidRPr="006D07C4">
        <w:t>According to NRCS, requests for funding are growing</w:t>
      </w:r>
      <w:r w:rsidR="00A243EC">
        <w:t xml:space="preserve">, with </w:t>
      </w:r>
      <w:r w:rsidRPr="006D07C4">
        <w:t>FY21</w:t>
      </w:r>
      <w:r w:rsidR="00A243EC">
        <w:t xml:space="preserve"> </w:t>
      </w:r>
      <w:r w:rsidRPr="006D07C4">
        <w:t xml:space="preserve">requests </w:t>
      </w:r>
      <w:r w:rsidR="00A243EC">
        <w:t xml:space="preserve">at </w:t>
      </w:r>
      <w:r w:rsidRPr="006D07C4">
        <w:t>$25K</w:t>
      </w:r>
      <w:r w:rsidR="00A243EC">
        <w:t xml:space="preserve"> and </w:t>
      </w:r>
      <w:r w:rsidRPr="006D07C4">
        <w:t>FY22</w:t>
      </w:r>
      <w:r w:rsidR="002B3071">
        <w:t xml:space="preserve"> </w:t>
      </w:r>
      <w:r w:rsidRPr="006D07C4">
        <w:t>requests</w:t>
      </w:r>
      <w:r w:rsidR="002B3071">
        <w:t xml:space="preserve"> at</w:t>
      </w:r>
      <w:r w:rsidRPr="006D07C4">
        <w:t xml:space="preserve"> $75K. There is adequate funding at all levels to meet current demand, but not all landowners want to partner on a federal or state contract.</w:t>
      </w:r>
    </w:p>
    <w:p w14:paraId="57370A6D" w14:textId="49EED0BF" w:rsidR="00B34B88" w:rsidRDefault="00AA385C" w:rsidP="008B4C61">
      <w:pPr>
        <w:pStyle w:val="ListParagraph"/>
        <w:numPr>
          <w:ilvl w:val="0"/>
          <w:numId w:val="30"/>
        </w:numPr>
      </w:pPr>
      <w:r>
        <w:t xml:space="preserve">There is a need for </w:t>
      </w:r>
      <w:r w:rsidR="00324A92">
        <w:t xml:space="preserve">trained staff who can </w:t>
      </w:r>
      <w:r w:rsidR="00B34B88">
        <w:t xml:space="preserve">readily talk buffer programs with landowners and develop relationships. </w:t>
      </w:r>
      <w:r w:rsidR="00A06BB9">
        <w:t>It takes people with the right skill set and ability to talk to producers to do this well.</w:t>
      </w:r>
    </w:p>
    <w:p w14:paraId="3AE39CE5" w14:textId="3556AEEB" w:rsidR="00A14D8F" w:rsidRDefault="00A14D8F" w:rsidP="008B4C61">
      <w:pPr>
        <w:pStyle w:val="ListParagraph"/>
        <w:numPr>
          <w:ilvl w:val="0"/>
          <w:numId w:val="30"/>
        </w:numPr>
      </w:pPr>
      <w:r>
        <w:t xml:space="preserve">In the past, </w:t>
      </w:r>
      <w:r w:rsidR="00F3110B">
        <w:t xml:space="preserve">mailings </w:t>
      </w:r>
      <w:r w:rsidR="0059766F">
        <w:t xml:space="preserve">to landowners to </w:t>
      </w:r>
      <w:r w:rsidR="00A47408">
        <w:t xml:space="preserve">generate interest in potential projects </w:t>
      </w:r>
      <w:r w:rsidR="00F3110B">
        <w:t>were most successful with follow-up phone calls to landowners</w:t>
      </w:r>
      <w:r w:rsidR="00FE46CF">
        <w:t>. During this time</w:t>
      </w:r>
      <w:r w:rsidR="00165405">
        <w:t xml:space="preserve">, staff would sell every type of program available to landowners </w:t>
      </w:r>
      <w:r w:rsidR="00711329">
        <w:t xml:space="preserve">and then discuss as a team all the possible projects and divide up and assign the project to the best fit program staff. </w:t>
      </w:r>
    </w:p>
    <w:p w14:paraId="5E6E4EF1" w14:textId="43E6ED61" w:rsidR="0059766F" w:rsidRDefault="0059766F" w:rsidP="008B4C61">
      <w:pPr>
        <w:pStyle w:val="ListParagraph"/>
        <w:numPr>
          <w:ilvl w:val="0"/>
          <w:numId w:val="30"/>
        </w:numPr>
      </w:pPr>
      <w:r w:rsidRPr="0059766F">
        <w:t>Over time, Delaware has moved away from boots</w:t>
      </w:r>
      <w:r w:rsidR="009D6070">
        <w:t>-</w:t>
      </w:r>
      <w:r w:rsidRPr="0059766F">
        <w:t>on</w:t>
      </w:r>
      <w:r w:rsidR="00390186">
        <w:t>-</w:t>
      </w:r>
      <w:r w:rsidRPr="0059766F">
        <w:t>the</w:t>
      </w:r>
      <w:r w:rsidR="00390186">
        <w:t>-</w:t>
      </w:r>
      <w:r w:rsidRPr="0059766F">
        <w:t>ground staff</w:t>
      </w:r>
      <w:r w:rsidR="0087449B">
        <w:t xml:space="preserve"> </w:t>
      </w:r>
      <w:r w:rsidR="00390186">
        <w:t xml:space="preserve">that could </w:t>
      </w:r>
      <w:r w:rsidRPr="0059766F">
        <w:t>pitch buffer projects</w:t>
      </w:r>
      <w:r w:rsidR="0087449B">
        <w:t xml:space="preserve"> to landowners</w:t>
      </w:r>
      <w:r w:rsidRPr="0059766F">
        <w:t>. This is due to attrition in the agencies and too much focus on federal government program paperwork.</w:t>
      </w:r>
      <w:r w:rsidR="00A47408">
        <w:t xml:space="preserve"> </w:t>
      </w:r>
    </w:p>
    <w:p w14:paraId="336DA05C" w14:textId="64651C0F" w:rsidR="00070620" w:rsidRDefault="00070620" w:rsidP="008B4C61">
      <w:pPr>
        <w:pStyle w:val="ListParagraph"/>
        <w:numPr>
          <w:ilvl w:val="0"/>
          <w:numId w:val="30"/>
        </w:numPr>
      </w:pPr>
      <w:r w:rsidRPr="00070620">
        <w:t>The University of Delaware Cooperative Extension might be a partner who can provide boots-on-the-ground</w:t>
      </w:r>
      <w:r w:rsidR="00BB15C5">
        <w:t xml:space="preserve"> trained staff who have the ability </w:t>
      </w:r>
      <w:r w:rsidR="00865E19" w:rsidRPr="00865E19">
        <w:t xml:space="preserve">develop landowner relationships </w:t>
      </w:r>
      <w:r w:rsidR="00865E19">
        <w:t xml:space="preserve">and </w:t>
      </w:r>
      <w:r w:rsidR="00BB15C5">
        <w:t>sell buffer programs</w:t>
      </w:r>
      <w:r w:rsidRPr="00070620">
        <w:t>. There is an opportunity to leverage this partn</w:t>
      </w:r>
      <w:r w:rsidR="002B6BD0">
        <w:t>er</w:t>
      </w:r>
      <w:r w:rsidRPr="00070620">
        <w:t>ship and their existing work.</w:t>
      </w:r>
    </w:p>
    <w:p w14:paraId="583CFBA3" w14:textId="5F237136" w:rsidR="00457770" w:rsidRDefault="008F7963" w:rsidP="008B4C61">
      <w:pPr>
        <w:pStyle w:val="ListParagraph"/>
        <w:numPr>
          <w:ilvl w:val="0"/>
          <w:numId w:val="30"/>
        </w:numPr>
      </w:pPr>
      <w:r>
        <w:t>NRCS ca</w:t>
      </w:r>
      <w:r w:rsidR="00D60A92">
        <w:t>nnot</w:t>
      </w:r>
      <w:r>
        <w:t xml:space="preserve"> hire more </w:t>
      </w:r>
      <w:proofErr w:type="gramStart"/>
      <w:r>
        <w:t>staff, but</w:t>
      </w:r>
      <w:proofErr w:type="gramEnd"/>
      <w:r>
        <w:t xml:space="preserve"> could go into a partnership agreement</w:t>
      </w:r>
      <w:r w:rsidR="00D60A92">
        <w:t xml:space="preserve"> with other state agencies and program staff, such as </w:t>
      </w:r>
      <w:r w:rsidR="00A65920">
        <w:t xml:space="preserve">Delaware’s </w:t>
      </w:r>
      <w:r w:rsidR="00896F6E">
        <w:t>c</w:t>
      </w:r>
      <w:r w:rsidR="00A65920">
        <w:t>ost-</w:t>
      </w:r>
      <w:r w:rsidR="00896F6E">
        <w:t>s</w:t>
      </w:r>
      <w:r w:rsidR="00A65920">
        <w:t xml:space="preserve">hare </w:t>
      </w:r>
      <w:r w:rsidR="00896F6E">
        <w:t>p</w:t>
      </w:r>
      <w:r w:rsidR="00A65920">
        <w:t>rogram</w:t>
      </w:r>
      <w:r w:rsidR="00D60A92">
        <w:t xml:space="preserve"> administrator</w:t>
      </w:r>
      <w:r w:rsidR="00395907">
        <w:t xml:space="preserve">. </w:t>
      </w:r>
    </w:p>
    <w:p w14:paraId="2CF582F0" w14:textId="77777777" w:rsidR="002E2E85" w:rsidRPr="007876CE" w:rsidRDefault="002E2E85" w:rsidP="002E2E85"/>
    <w:p w14:paraId="0A1C50FB" w14:textId="30BF0B4E" w:rsidR="006909D4" w:rsidRPr="00F4666D" w:rsidRDefault="00F34631" w:rsidP="006909D4">
      <w:pPr>
        <w:rPr>
          <w:u w:val="single"/>
        </w:rPr>
      </w:pPr>
      <w:r w:rsidRPr="00F4666D">
        <w:rPr>
          <w:u w:val="single"/>
        </w:rPr>
        <w:t xml:space="preserve">Trained and Cost-Effective </w:t>
      </w:r>
      <w:r w:rsidR="00F4666D" w:rsidRPr="00F4666D">
        <w:rPr>
          <w:u w:val="single"/>
        </w:rPr>
        <w:t>Service Providers</w:t>
      </w:r>
    </w:p>
    <w:p w14:paraId="3CF9E7B1" w14:textId="77777777" w:rsidR="002D3FAC" w:rsidRDefault="002D3FAC" w:rsidP="0058707A">
      <w:pPr>
        <w:pStyle w:val="ListParagraph"/>
        <w:numPr>
          <w:ilvl w:val="0"/>
          <w:numId w:val="27"/>
        </w:numPr>
      </w:pPr>
      <w:r>
        <w:t>Cost-effective restoration contractors available to complete work</w:t>
      </w:r>
    </w:p>
    <w:p w14:paraId="23A33C4A" w14:textId="0C6882A1" w:rsidR="002D3FAC" w:rsidRDefault="002D3FAC" w:rsidP="0058707A">
      <w:pPr>
        <w:pStyle w:val="ListParagraph"/>
        <w:numPr>
          <w:ilvl w:val="0"/>
          <w:numId w:val="27"/>
        </w:numPr>
      </w:pPr>
      <w:r>
        <w:t>Trained technical assistance providers available to work with landowners</w:t>
      </w:r>
    </w:p>
    <w:p w14:paraId="4AD60E96" w14:textId="37EA7374" w:rsidR="0058707A" w:rsidRDefault="0058707A" w:rsidP="00A52F02">
      <w:bookmarkStart w:id="9" w:name="_Hlk100180566"/>
      <w:r w:rsidRPr="004F38CE">
        <w:rPr>
          <w:b/>
          <w:bCs/>
        </w:rPr>
        <w:t>Delaware Discussion Summary:</w:t>
      </w:r>
    </w:p>
    <w:bookmarkEnd w:id="9"/>
    <w:p w14:paraId="206810BD" w14:textId="4CF1C39F" w:rsidR="00A52F02" w:rsidRDefault="00956665" w:rsidP="0058707A">
      <w:pPr>
        <w:pStyle w:val="ListParagraph"/>
        <w:numPr>
          <w:ilvl w:val="0"/>
          <w:numId w:val="28"/>
        </w:numPr>
      </w:pPr>
      <w:r>
        <w:t xml:space="preserve">There is a need </w:t>
      </w:r>
      <w:r w:rsidR="008B4C61">
        <w:t xml:space="preserve">for </w:t>
      </w:r>
      <w:r w:rsidR="00302868">
        <w:t>a list of companies who are trained</w:t>
      </w:r>
      <w:r w:rsidR="00115354">
        <w:t xml:space="preserve">, </w:t>
      </w:r>
      <w:r w:rsidR="00302868">
        <w:t xml:space="preserve">cost-effective restoration contractors; expertise is essential. </w:t>
      </w:r>
    </w:p>
    <w:p w14:paraId="3709C76E" w14:textId="71EA80A0" w:rsidR="00302868" w:rsidRDefault="00302868" w:rsidP="0058707A">
      <w:pPr>
        <w:pStyle w:val="ListParagraph"/>
        <w:numPr>
          <w:ilvl w:val="0"/>
          <w:numId w:val="28"/>
        </w:numPr>
      </w:pPr>
      <w:r>
        <w:t xml:space="preserve">Capacity </w:t>
      </w:r>
      <w:r w:rsidR="00A35185">
        <w:t xml:space="preserve">of trained </w:t>
      </w:r>
      <w:r w:rsidR="00E91365">
        <w:t xml:space="preserve">assistance providers </w:t>
      </w:r>
      <w:r>
        <w:t>is an issue.</w:t>
      </w:r>
    </w:p>
    <w:p w14:paraId="1D08FC94" w14:textId="0E59B2AA" w:rsidR="00FA4C27" w:rsidRDefault="00FA4C27" w:rsidP="0058707A">
      <w:pPr>
        <w:pStyle w:val="ListParagraph"/>
        <w:numPr>
          <w:ilvl w:val="0"/>
          <w:numId w:val="28"/>
        </w:numPr>
      </w:pPr>
      <w:r>
        <w:t xml:space="preserve">Relying on </w:t>
      </w:r>
      <w:r w:rsidR="000D7931">
        <w:t xml:space="preserve">untrained </w:t>
      </w:r>
      <w:r>
        <w:t xml:space="preserve">volunteers for tree plantings </w:t>
      </w:r>
      <w:r w:rsidR="008B4C61">
        <w:t xml:space="preserve">through TEDI </w:t>
      </w:r>
      <w:r w:rsidR="000D7931">
        <w:t xml:space="preserve">could </w:t>
      </w:r>
      <w:r>
        <w:t xml:space="preserve">result in low survival rate. </w:t>
      </w:r>
    </w:p>
    <w:p w14:paraId="13EDDDD2" w14:textId="77777777" w:rsidR="0032772B" w:rsidRDefault="0032772B" w:rsidP="00A52F02"/>
    <w:p w14:paraId="29BA2A3E" w14:textId="27E630B2" w:rsidR="005507B4" w:rsidRPr="005275A6" w:rsidRDefault="002D3FAC" w:rsidP="006909D4">
      <w:pPr>
        <w:rPr>
          <w:u w:val="single"/>
        </w:rPr>
      </w:pPr>
      <w:r w:rsidRPr="005275A6">
        <w:rPr>
          <w:u w:val="single"/>
        </w:rPr>
        <w:t>Materials</w:t>
      </w:r>
    </w:p>
    <w:p w14:paraId="674909B8" w14:textId="28D260AF" w:rsidR="006909D4" w:rsidRDefault="006909D4" w:rsidP="006909D4">
      <w:pPr>
        <w:pStyle w:val="ListParagraph"/>
        <w:numPr>
          <w:ilvl w:val="0"/>
          <w:numId w:val="8"/>
        </w:numPr>
      </w:pPr>
      <w:r>
        <w:t>Adequate suppl</w:t>
      </w:r>
      <w:r w:rsidR="00144784">
        <w:t>ies (e.g.,</w:t>
      </w:r>
      <w:r>
        <w:t xml:space="preserve"> trees</w:t>
      </w:r>
      <w:r w:rsidR="00144784">
        <w:t>,</w:t>
      </w:r>
      <w:r>
        <w:t xml:space="preserve"> planting tubes</w:t>
      </w:r>
      <w:r w:rsidR="00144784">
        <w:t>, etc</w:t>
      </w:r>
      <w:r w:rsidR="00395907">
        <w:t>.</w:t>
      </w:r>
      <w:r w:rsidR="00144784">
        <w:t>)</w:t>
      </w:r>
      <w:r>
        <w:t xml:space="preserve"> </w:t>
      </w:r>
    </w:p>
    <w:p w14:paraId="6AC4E340" w14:textId="41FA0A54" w:rsidR="00115354" w:rsidRPr="00115354" w:rsidRDefault="00115354" w:rsidP="0032772B">
      <w:pPr>
        <w:rPr>
          <w:b/>
          <w:bCs/>
        </w:rPr>
      </w:pPr>
      <w:r w:rsidRPr="00115354">
        <w:rPr>
          <w:b/>
          <w:bCs/>
        </w:rPr>
        <w:t>Delaware Discussion Summary:</w:t>
      </w:r>
    </w:p>
    <w:p w14:paraId="040098F2" w14:textId="0C42690E" w:rsidR="0032772B" w:rsidRDefault="008A3482" w:rsidP="00115354">
      <w:pPr>
        <w:pStyle w:val="ListParagraph"/>
        <w:numPr>
          <w:ilvl w:val="0"/>
          <w:numId w:val="29"/>
        </w:numPr>
      </w:pPr>
      <w:r>
        <w:lastRenderedPageBreak/>
        <w:t xml:space="preserve">Delaware agencies purchase </w:t>
      </w:r>
      <w:r w:rsidR="0024633A">
        <w:t xml:space="preserve">trees from the </w:t>
      </w:r>
      <w:r w:rsidR="004144FA">
        <w:t xml:space="preserve">John </w:t>
      </w:r>
      <w:r w:rsidR="00B51E38">
        <w:t xml:space="preserve">S. Ayton Tree Nursery in Preston, </w:t>
      </w:r>
      <w:r w:rsidR="00310C23">
        <w:t>Maryland</w:t>
      </w:r>
      <w:r w:rsidR="00C10377">
        <w:t xml:space="preserve"> (referred to as the Preston nursery)</w:t>
      </w:r>
      <w:r w:rsidR="0024633A">
        <w:t>.</w:t>
      </w:r>
    </w:p>
    <w:p w14:paraId="38F4820E" w14:textId="10D5078F" w:rsidR="002B2435" w:rsidRDefault="0024633A" w:rsidP="00115354">
      <w:pPr>
        <w:pStyle w:val="ListParagraph"/>
        <w:numPr>
          <w:ilvl w:val="0"/>
          <w:numId w:val="29"/>
        </w:numPr>
      </w:pPr>
      <w:r>
        <w:t>The</w:t>
      </w:r>
      <w:r w:rsidR="00C10377">
        <w:t xml:space="preserve"> </w:t>
      </w:r>
      <w:r w:rsidR="009047D9">
        <w:t>Maryland’s John S. Ayton State Tree</w:t>
      </w:r>
      <w:r>
        <w:t xml:space="preserve"> nursery </w:t>
      </w:r>
      <w:r w:rsidR="002B2435">
        <w:t xml:space="preserve">has sold out </w:t>
      </w:r>
      <w:r w:rsidR="005775B2">
        <w:t xml:space="preserve">of trees; </w:t>
      </w:r>
      <w:r w:rsidR="002B2435">
        <w:t xml:space="preserve">it is unclear if this is due to </w:t>
      </w:r>
      <w:r w:rsidR="00035A05">
        <w:t xml:space="preserve">low supply or high demand. </w:t>
      </w:r>
    </w:p>
    <w:p w14:paraId="7A426388" w14:textId="2B850C66" w:rsidR="00035A05" w:rsidRDefault="00115354" w:rsidP="00115354">
      <w:pPr>
        <w:pStyle w:val="ListParagraph"/>
        <w:numPr>
          <w:ilvl w:val="0"/>
          <w:numId w:val="29"/>
        </w:numPr>
      </w:pPr>
      <w:r>
        <w:t>T</w:t>
      </w:r>
      <w:r w:rsidR="007C299E">
        <w:t>o ensure adequate supply, Delaware should contract with</w:t>
      </w:r>
      <w:r w:rsidR="00035A05">
        <w:t xml:space="preserve"> </w:t>
      </w:r>
      <w:r w:rsidR="009047D9">
        <w:t>Ayton</w:t>
      </w:r>
      <w:r w:rsidR="000D4E3A">
        <w:t xml:space="preserve"> </w:t>
      </w:r>
      <w:r w:rsidR="00C10377">
        <w:t>n</w:t>
      </w:r>
      <w:r w:rsidR="00035A05">
        <w:t xml:space="preserve">ursery </w:t>
      </w:r>
      <w:r w:rsidR="007C299E">
        <w:t xml:space="preserve">for </w:t>
      </w:r>
      <w:r w:rsidR="00035A05">
        <w:t xml:space="preserve">the trees </w:t>
      </w:r>
      <w:r w:rsidR="00BA7C6B">
        <w:t>needed through</w:t>
      </w:r>
      <w:r w:rsidR="00C30C5D">
        <w:t xml:space="preserve"> </w:t>
      </w:r>
      <w:r w:rsidR="00035A05">
        <w:t xml:space="preserve">TEDI and other </w:t>
      </w:r>
      <w:r w:rsidR="00C30C5D">
        <w:t xml:space="preserve">RFB </w:t>
      </w:r>
      <w:r w:rsidR="00035A05">
        <w:t xml:space="preserve">projects. </w:t>
      </w:r>
    </w:p>
    <w:p w14:paraId="1871302D" w14:textId="77777777" w:rsidR="00D33D2A" w:rsidRDefault="00D33D2A"/>
    <w:p w14:paraId="3D1B6F1E" w14:textId="3C14AE2A" w:rsidR="00DE29B9" w:rsidRDefault="00D33D2A">
      <w:r w:rsidRPr="00D33D2A">
        <w:t xml:space="preserve">The matrix below provides an integrated summary of the discussion points related to the RFB best practice elements. This integrated summary highlights key issues related to each of the best practices and denotes where the group did not identify a program, need, or challenge related to a best practice. </w:t>
      </w:r>
      <w:r w:rsidR="00DE29B9">
        <w:br w:type="page"/>
      </w:r>
    </w:p>
    <w:p w14:paraId="206F261A" w14:textId="77777777" w:rsidR="00A9322A" w:rsidRDefault="00A9322A" w:rsidP="0032772B">
      <w:pPr>
        <w:sectPr w:rsidR="00A9322A">
          <w:footerReference w:type="default" r:id="rId9"/>
          <w:pgSz w:w="12240" w:h="15840"/>
          <w:pgMar w:top="1440" w:right="1440" w:bottom="1440" w:left="1440" w:header="720" w:footer="720" w:gutter="0"/>
          <w:cols w:space="720"/>
          <w:docGrid w:linePitch="360"/>
        </w:sectPr>
      </w:pPr>
    </w:p>
    <w:tbl>
      <w:tblPr>
        <w:tblStyle w:val="TableGrid"/>
        <w:tblpPr w:leftFromText="180" w:rightFromText="180" w:vertAnchor="text" w:horzAnchor="page" w:tblpX="825" w:tblpY="-61"/>
        <w:tblW w:w="13135" w:type="dxa"/>
        <w:tblLook w:val="04A0" w:firstRow="1" w:lastRow="0" w:firstColumn="1" w:lastColumn="0" w:noHBand="0" w:noVBand="1"/>
      </w:tblPr>
      <w:tblGrid>
        <w:gridCol w:w="3775"/>
        <w:gridCol w:w="4320"/>
        <w:gridCol w:w="5040"/>
      </w:tblGrid>
      <w:tr w:rsidR="00A9322A" w:rsidRPr="008C4BDF" w14:paraId="4C42E2DF" w14:textId="77777777" w:rsidTr="00A17E02">
        <w:trPr>
          <w:tblHeader/>
        </w:trPr>
        <w:tc>
          <w:tcPr>
            <w:tcW w:w="3775" w:type="dxa"/>
            <w:shd w:val="clear" w:color="auto" w:fill="B4C6E7" w:themeFill="accent1" w:themeFillTint="66"/>
          </w:tcPr>
          <w:p w14:paraId="77A46275" w14:textId="0CA785E4" w:rsidR="00A9322A" w:rsidRPr="008C4BDF" w:rsidRDefault="00A9322A" w:rsidP="007450B5">
            <w:pPr>
              <w:jc w:val="center"/>
              <w:rPr>
                <w:b/>
                <w:bCs/>
                <w:sz w:val="20"/>
                <w:szCs w:val="20"/>
              </w:rPr>
            </w:pPr>
            <w:r w:rsidRPr="008C4BDF">
              <w:rPr>
                <w:b/>
                <w:bCs/>
                <w:sz w:val="20"/>
                <w:szCs w:val="20"/>
              </w:rPr>
              <w:lastRenderedPageBreak/>
              <w:t xml:space="preserve">Best Practices for </w:t>
            </w:r>
            <w:r w:rsidR="00A33FA9">
              <w:rPr>
                <w:b/>
                <w:bCs/>
                <w:sz w:val="20"/>
                <w:szCs w:val="20"/>
              </w:rPr>
              <w:t>S</w:t>
            </w:r>
            <w:r w:rsidRPr="008C4BDF">
              <w:rPr>
                <w:b/>
                <w:bCs/>
                <w:sz w:val="20"/>
                <w:szCs w:val="20"/>
              </w:rPr>
              <w:t xml:space="preserve">uccessful RFB </w:t>
            </w:r>
            <w:r w:rsidR="00A33FA9">
              <w:rPr>
                <w:b/>
                <w:bCs/>
                <w:sz w:val="20"/>
                <w:szCs w:val="20"/>
              </w:rPr>
              <w:t>P</w:t>
            </w:r>
            <w:r w:rsidRPr="008C4BDF">
              <w:rPr>
                <w:b/>
                <w:bCs/>
                <w:sz w:val="20"/>
                <w:szCs w:val="20"/>
              </w:rPr>
              <w:t>rograms (both urban and rural)</w:t>
            </w:r>
          </w:p>
        </w:tc>
        <w:tc>
          <w:tcPr>
            <w:tcW w:w="4320" w:type="dxa"/>
            <w:shd w:val="clear" w:color="auto" w:fill="B4C6E7" w:themeFill="accent1" w:themeFillTint="66"/>
          </w:tcPr>
          <w:p w14:paraId="7F789941" w14:textId="77777777" w:rsidR="00CA04B9" w:rsidRDefault="00A9322A" w:rsidP="007450B5">
            <w:pPr>
              <w:jc w:val="center"/>
              <w:rPr>
                <w:b/>
                <w:bCs/>
                <w:sz w:val="20"/>
                <w:szCs w:val="20"/>
              </w:rPr>
            </w:pPr>
            <w:r w:rsidRPr="008C4BDF">
              <w:rPr>
                <w:b/>
                <w:bCs/>
                <w:sz w:val="20"/>
                <w:szCs w:val="20"/>
              </w:rPr>
              <w:t>Existing Programs</w:t>
            </w:r>
            <w:r w:rsidR="007450B5">
              <w:rPr>
                <w:b/>
                <w:bCs/>
                <w:sz w:val="20"/>
                <w:szCs w:val="20"/>
              </w:rPr>
              <w:t xml:space="preserve"> and Activities</w:t>
            </w:r>
            <w:r w:rsidR="00CA04B9">
              <w:rPr>
                <w:b/>
                <w:bCs/>
                <w:sz w:val="20"/>
                <w:szCs w:val="20"/>
              </w:rPr>
              <w:t xml:space="preserve"> </w:t>
            </w:r>
          </w:p>
          <w:p w14:paraId="786224CD" w14:textId="63F4AE03" w:rsidR="00A9322A" w:rsidRPr="008C4BDF" w:rsidRDefault="00A24443" w:rsidP="007450B5">
            <w:pPr>
              <w:jc w:val="center"/>
              <w:rPr>
                <w:b/>
                <w:bCs/>
                <w:sz w:val="20"/>
                <w:szCs w:val="20"/>
              </w:rPr>
            </w:pPr>
            <w:r>
              <w:rPr>
                <w:b/>
                <w:bCs/>
                <w:sz w:val="20"/>
                <w:szCs w:val="20"/>
              </w:rPr>
              <w:t xml:space="preserve">Fully or Partially </w:t>
            </w:r>
            <w:r w:rsidR="00CA04B9">
              <w:rPr>
                <w:b/>
                <w:bCs/>
                <w:sz w:val="20"/>
                <w:szCs w:val="20"/>
              </w:rPr>
              <w:t>Addressing Best Practice</w:t>
            </w:r>
          </w:p>
        </w:tc>
        <w:tc>
          <w:tcPr>
            <w:tcW w:w="5040" w:type="dxa"/>
            <w:shd w:val="clear" w:color="auto" w:fill="B4C6E7" w:themeFill="accent1" w:themeFillTint="66"/>
          </w:tcPr>
          <w:p w14:paraId="682AC7E1" w14:textId="489D1677" w:rsidR="00A9322A" w:rsidRPr="008C4BDF" w:rsidRDefault="007450B5" w:rsidP="007450B5">
            <w:pPr>
              <w:jc w:val="center"/>
              <w:rPr>
                <w:b/>
                <w:bCs/>
                <w:sz w:val="20"/>
                <w:szCs w:val="20"/>
              </w:rPr>
            </w:pPr>
            <w:r>
              <w:rPr>
                <w:b/>
                <w:bCs/>
                <w:sz w:val="20"/>
                <w:szCs w:val="20"/>
              </w:rPr>
              <w:t xml:space="preserve">Needs and </w:t>
            </w:r>
            <w:r w:rsidR="00103B16">
              <w:rPr>
                <w:b/>
                <w:bCs/>
                <w:sz w:val="20"/>
                <w:szCs w:val="20"/>
              </w:rPr>
              <w:t>Challenges</w:t>
            </w:r>
            <w:r w:rsidR="00CA04B9">
              <w:rPr>
                <w:b/>
                <w:bCs/>
                <w:sz w:val="20"/>
                <w:szCs w:val="20"/>
              </w:rPr>
              <w:t xml:space="preserve"> to Achieve Best Practice</w:t>
            </w:r>
          </w:p>
        </w:tc>
      </w:tr>
      <w:tr w:rsidR="007450B5" w:rsidRPr="008C4BDF" w14:paraId="32F09A86" w14:textId="77777777" w:rsidTr="00A17E02">
        <w:tc>
          <w:tcPr>
            <w:tcW w:w="13135" w:type="dxa"/>
            <w:gridSpan w:val="3"/>
            <w:shd w:val="clear" w:color="auto" w:fill="D9E2F3" w:themeFill="accent1" w:themeFillTint="33"/>
          </w:tcPr>
          <w:p w14:paraId="62D57B85" w14:textId="143A2EA1" w:rsidR="007450B5" w:rsidRPr="008C4BDF" w:rsidRDefault="007450B5" w:rsidP="00A9322A">
            <w:pPr>
              <w:rPr>
                <w:b/>
                <w:bCs/>
                <w:sz w:val="20"/>
                <w:szCs w:val="20"/>
              </w:rPr>
            </w:pPr>
            <w:r w:rsidRPr="008C4BDF">
              <w:rPr>
                <w:b/>
                <w:bCs/>
                <w:i/>
                <w:iCs/>
                <w:sz w:val="20"/>
                <w:szCs w:val="20"/>
              </w:rPr>
              <w:t>Program Logistics</w:t>
            </w:r>
          </w:p>
        </w:tc>
      </w:tr>
      <w:tr w:rsidR="00A9322A" w:rsidRPr="008C4BDF" w14:paraId="6823C485" w14:textId="77777777" w:rsidTr="00A9322A">
        <w:tc>
          <w:tcPr>
            <w:tcW w:w="3775" w:type="dxa"/>
          </w:tcPr>
          <w:p w14:paraId="5364CE29" w14:textId="77777777" w:rsidR="00A9322A" w:rsidRPr="008C4BDF" w:rsidRDefault="00A9322A" w:rsidP="00A9322A">
            <w:pPr>
              <w:rPr>
                <w:sz w:val="20"/>
                <w:szCs w:val="20"/>
              </w:rPr>
            </w:pPr>
            <w:r w:rsidRPr="008C4BDF">
              <w:rPr>
                <w:sz w:val="20"/>
                <w:szCs w:val="20"/>
              </w:rPr>
              <w:t>No out-of-pocket expense for landowners</w:t>
            </w:r>
          </w:p>
        </w:tc>
        <w:tc>
          <w:tcPr>
            <w:tcW w:w="4320" w:type="dxa"/>
          </w:tcPr>
          <w:p w14:paraId="5D45DFAC" w14:textId="3BE74F95" w:rsidR="00A9322A" w:rsidRPr="008C4BDF" w:rsidRDefault="00D0334E" w:rsidP="00A9322A">
            <w:pPr>
              <w:rPr>
                <w:sz w:val="20"/>
                <w:szCs w:val="20"/>
              </w:rPr>
            </w:pPr>
            <w:r w:rsidRPr="00D0334E">
              <w:rPr>
                <w:sz w:val="20"/>
                <w:szCs w:val="20"/>
              </w:rPr>
              <w:t xml:space="preserve">No specific examples of </w:t>
            </w:r>
            <w:r>
              <w:rPr>
                <w:sz w:val="20"/>
                <w:szCs w:val="20"/>
              </w:rPr>
              <w:t xml:space="preserve">existing programs that offer no out-of-pocket expense for landowners </w:t>
            </w:r>
            <w:r w:rsidRPr="00D0334E">
              <w:rPr>
                <w:sz w:val="20"/>
                <w:szCs w:val="20"/>
              </w:rPr>
              <w:t>provided during the discussion.</w:t>
            </w:r>
          </w:p>
        </w:tc>
        <w:tc>
          <w:tcPr>
            <w:tcW w:w="5040" w:type="dxa"/>
          </w:tcPr>
          <w:p w14:paraId="5CA2AF16" w14:textId="16590278" w:rsidR="00A9322A" w:rsidRPr="008C4BDF" w:rsidRDefault="00B069C8" w:rsidP="00A9322A">
            <w:pPr>
              <w:rPr>
                <w:sz w:val="20"/>
                <w:szCs w:val="20"/>
              </w:rPr>
            </w:pPr>
            <w:r w:rsidRPr="00B069C8">
              <w:rPr>
                <w:sz w:val="20"/>
                <w:szCs w:val="20"/>
              </w:rPr>
              <w:t xml:space="preserve">No additional needs or challenges related </w:t>
            </w:r>
            <w:r w:rsidR="00582D94">
              <w:rPr>
                <w:sz w:val="20"/>
                <w:szCs w:val="20"/>
              </w:rPr>
              <w:t xml:space="preserve">to </w:t>
            </w:r>
            <w:r w:rsidR="006256B4">
              <w:rPr>
                <w:sz w:val="20"/>
                <w:szCs w:val="20"/>
              </w:rPr>
              <w:t xml:space="preserve">offering </w:t>
            </w:r>
            <w:r w:rsidR="006256B4" w:rsidRPr="006256B4">
              <w:rPr>
                <w:sz w:val="20"/>
                <w:szCs w:val="20"/>
              </w:rPr>
              <w:t xml:space="preserve">no out-of-pocket expense for landowners </w:t>
            </w:r>
            <w:r w:rsidRPr="00B069C8">
              <w:rPr>
                <w:sz w:val="20"/>
                <w:szCs w:val="20"/>
              </w:rPr>
              <w:t>specifically addressed during discussion.</w:t>
            </w:r>
            <w:r>
              <w:rPr>
                <w:sz w:val="20"/>
                <w:szCs w:val="20"/>
              </w:rPr>
              <w:t xml:space="preserve"> </w:t>
            </w:r>
          </w:p>
        </w:tc>
      </w:tr>
      <w:tr w:rsidR="00A9322A" w:rsidRPr="008C4BDF" w14:paraId="0BFF2529" w14:textId="77777777" w:rsidTr="00A9322A">
        <w:tc>
          <w:tcPr>
            <w:tcW w:w="3775" w:type="dxa"/>
          </w:tcPr>
          <w:p w14:paraId="3F3700E0" w14:textId="77777777" w:rsidR="00A9322A" w:rsidRPr="008C4BDF" w:rsidRDefault="00A9322A" w:rsidP="00A9322A">
            <w:pPr>
              <w:rPr>
                <w:sz w:val="20"/>
                <w:szCs w:val="20"/>
              </w:rPr>
            </w:pPr>
            <w:r w:rsidRPr="008C4BDF">
              <w:rPr>
                <w:sz w:val="20"/>
                <w:szCs w:val="20"/>
              </w:rPr>
              <w:t xml:space="preserve">Sustainable source(s) of funding available “on demand” </w:t>
            </w:r>
          </w:p>
        </w:tc>
        <w:tc>
          <w:tcPr>
            <w:tcW w:w="4320" w:type="dxa"/>
          </w:tcPr>
          <w:p w14:paraId="3C29740E" w14:textId="3EA64DD7" w:rsidR="00A9322A" w:rsidRPr="008C4BDF" w:rsidRDefault="0033273C" w:rsidP="00276C4E">
            <w:pPr>
              <w:rPr>
                <w:sz w:val="20"/>
                <w:szCs w:val="20"/>
              </w:rPr>
            </w:pPr>
            <w:r>
              <w:rPr>
                <w:sz w:val="20"/>
                <w:szCs w:val="20"/>
              </w:rPr>
              <w:t>The state cost-share program is nearly “on-demand</w:t>
            </w:r>
            <w:r w:rsidR="00D778D5">
              <w:rPr>
                <w:sz w:val="20"/>
                <w:szCs w:val="20"/>
              </w:rPr>
              <w:t xml:space="preserve">.” This program </w:t>
            </w:r>
            <w:r w:rsidR="009C1DEF">
              <w:rPr>
                <w:sz w:val="20"/>
                <w:szCs w:val="20"/>
              </w:rPr>
              <w:t xml:space="preserve">can offer </w:t>
            </w:r>
            <w:r w:rsidR="007C5585">
              <w:rPr>
                <w:sz w:val="20"/>
                <w:szCs w:val="20"/>
              </w:rPr>
              <w:t>t</w:t>
            </w:r>
            <w:r w:rsidR="0024432C" w:rsidRPr="0024432C">
              <w:rPr>
                <w:sz w:val="20"/>
                <w:szCs w:val="20"/>
              </w:rPr>
              <w:t xml:space="preserve">ransfer-tax money as a safety net for EQIP at the forester’s discretion. </w:t>
            </w:r>
            <w:r w:rsidR="0055194A">
              <w:rPr>
                <w:sz w:val="20"/>
                <w:szCs w:val="20"/>
              </w:rPr>
              <w:t>L</w:t>
            </w:r>
            <w:r w:rsidR="0024432C" w:rsidRPr="0024432C">
              <w:rPr>
                <w:sz w:val="20"/>
                <w:szCs w:val="20"/>
              </w:rPr>
              <w:t>andowner</w:t>
            </w:r>
            <w:r w:rsidR="0055194A">
              <w:rPr>
                <w:sz w:val="20"/>
                <w:szCs w:val="20"/>
              </w:rPr>
              <w:t>s</w:t>
            </w:r>
            <w:r w:rsidR="0024432C" w:rsidRPr="0024432C">
              <w:rPr>
                <w:sz w:val="20"/>
                <w:szCs w:val="20"/>
              </w:rPr>
              <w:t xml:space="preserve"> simply show receipts</w:t>
            </w:r>
            <w:r w:rsidR="0055194A">
              <w:rPr>
                <w:sz w:val="20"/>
                <w:szCs w:val="20"/>
              </w:rPr>
              <w:t xml:space="preserve"> for </w:t>
            </w:r>
            <w:r w:rsidR="0055194A" w:rsidRPr="0055194A">
              <w:rPr>
                <w:sz w:val="20"/>
                <w:szCs w:val="20"/>
              </w:rPr>
              <w:t>50</w:t>
            </w:r>
            <w:r w:rsidR="004A2422">
              <w:rPr>
                <w:sz w:val="20"/>
                <w:szCs w:val="20"/>
              </w:rPr>
              <w:t xml:space="preserve"> percent </w:t>
            </w:r>
            <w:r w:rsidR="0055194A" w:rsidRPr="0055194A">
              <w:rPr>
                <w:sz w:val="20"/>
                <w:szCs w:val="20"/>
              </w:rPr>
              <w:t>reimbursement</w:t>
            </w:r>
            <w:r w:rsidR="00EB6B26">
              <w:rPr>
                <w:sz w:val="20"/>
                <w:szCs w:val="20"/>
              </w:rPr>
              <w:t xml:space="preserve">. </w:t>
            </w:r>
          </w:p>
        </w:tc>
        <w:tc>
          <w:tcPr>
            <w:tcW w:w="5040" w:type="dxa"/>
          </w:tcPr>
          <w:p w14:paraId="1D561F65" w14:textId="039FF5C0" w:rsidR="00A9322A" w:rsidRPr="008C4BDF" w:rsidRDefault="009B19DC" w:rsidP="00A9322A">
            <w:pPr>
              <w:rPr>
                <w:sz w:val="20"/>
                <w:szCs w:val="20"/>
              </w:rPr>
            </w:pPr>
            <w:r>
              <w:rPr>
                <w:sz w:val="20"/>
                <w:szCs w:val="20"/>
              </w:rPr>
              <w:t xml:space="preserve">Discussion of using </w:t>
            </w:r>
            <w:r w:rsidRPr="009B19DC">
              <w:rPr>
                <w:sz w:val="20"/>
                <w:szCs w:val="20"/>
              </w:rPr>
              <w:t>TEDI</w:t>
            </w:r>
            <w:r>
              <w:rPr>
                <w:sz w:val="20"/>
                <w:szCs w:val="20"/>
              </w:rPr>
              <w:t xml:space="preserve"> funding</w:t>
            </w:r>
            <w:r w:rsidRPr="009B19DC">
              <w:rPr>
                <w:sz w:val="20"/>
                <w:szCs w:val="20"/>
              </w:rPr>
              <w:t xml:space="preserve"> </w:t>
            </w:r>
            <w:r w:rsidR="00D23B2A">
              <w:rPr>
                <w:sz w:val="20"/>
                <w:szCs w:val="20"/>
              </w:rPr>
              <w:t xml:space="preserve">through the state cost-share </w:t>
            </w:r>
            <w:r w:rsidR="00ED1B40">
              <w:rPr>
                <w:sz w:val="20"/>
                <w:szCs w:val="20"/>
              </w:rPr>
              <w:t>program</w:t>
            </w:r>
            <w:r w:rsidRPr="009B19DC">
              <w:rPr>
                <w:sz w:val="20"/>
                <w:szCs w:val="20"/>
              </w:rPr>
              <w:t>, as opposed to the transfer-tax money that needs to go back if not used</w:t>
            </w:r>
            <w:r w:rsidR="00ED1B40">
              <w:rPr>
                <w:sz w:val="20"/>
                <w:szCs w:val="20"/>
              </w:rPr>
              <w:t xml:space="preserve">. </w:t>
            </w:r>
            <w:r w:rsidR="00383964">
              <w:rPr>
                <w:sz w:val="20"/>
                <w:szCs w:val="20"/>
              </w:rPr>
              <w:t>This mechanism c</w:t>
            </w:r>
            <w:r w:rsidR="00CD2C6B">
              <w:rPr>
                <w:sz w:val="20"/>
                <w:szCs w:val="20"/>
              </w:rPr>
              <w:t xml:space="preserve">an </w:t>
            </w:r>
            <w:r w:rsidR="00ED1B40">
              <w:rPr>
                <w:sz w:val="20"/>
                <w:szCs w:val="20"/>
              </w:rPr>
              <w:t xml:space="preserve">fund RFB </w:t>
            </w:r>
            <w:r w:rsidRPr="009B19DC">
              <w:rPr>
                <w:sz w:val="20"/>
                <w:szCs w:val="20"/>
              </w:rPr>
              <w:t xml:space="preserve">implementation and </w:t>
            </w:r>
            <w:r w:rsidR="005D31E0" w:rsidRPr="009B19DC">
              <w:rPr>
                <w:sz w:val="20"/>
                <w:szCs w:val="20"/>
              </w:rPr>
              <w:t>maintenance but</w:t>
            </w:r>
            <w:r w:rsidRPr="009B19DC">
              <w:rPr>
                <w:sz w:val="20"/>
                <w:szCs w:val="20"/>
              </w:rPr>
              <w:t xml:space="preserve"> </w:t>
            </w:r>
            <w:r w:rsidR="00C62F41">
              <w:rPr>
                <w:sz w:val="20"/>
                <w:szCs w:val="20"/>
              </w:rPr>
              <w:t xml:space="preserve">cannot </w:t>
            </w:r>
            <w:r w:rsidRPr="009B19DC">
              <w:rPr>
                <w:sz w:val="20"/>
                <w:szCs w:val="20"/>
              </w:rPr>
              <w:t xml:space="preserve">fund </w:t>
            </w:r>
            <w:r w:rsidR="00ED1B40">
              <w:rPr>
                <w:sz w:val="20"/>
                <w:szCs w:val="20"/>
              </w:rPr>
              <w:t xml:space="preserve">annual </w:t>
            </w:r>
            <w:r w:rsidRPr="009B19DC">
              <w:rPr>
                <w:sz w:val="20"/>
                <w:szCs w:val="20"/>
              </w:rPr>
              <w:t>rental payments.</w:t>
            </w:r>
          </w:p>
        </w:tc>
      </w:tr>
      <w:tr w:rsidR="00A9322A" w:rsidRPr="008C4BDF" w14:paraId="761EC2D7" w14:textId="77777777" w:rsidTr="00A9322A">
        <w:tc>
          <w:tcPr>
            <w:tcW w:w="3775" w:type="dxa"/>
          </w:tcPr>
          <w:p w14:paraId="5641439A" w14:textId="77777777" w:rsidR="00A9322A" w:rsidRPr="008C4BDF" w:rsidRDefault="00A9322A" w:rsidP="00A9322A">
            <w:pPr>
              <w:rPr>
                <w:sz w:val="20"/>
                <w:szCs w:val="20"/>
              </w:rPr>
            </w:pPr>
            <w:r w:rsidRPr="008C4BDF">
              <w:rPr>
                <w:sz w:val="20"/>
                <w:szCs w:val="20"/>
              </w:rPr>
              <w:t xml:space="preserve">Technical assistance provided </w:t>
            </w:r>
          </w:p>
        </w:tc>
        <w:tc>
          <w:tcPr>
            <w:tcW w:w="4320" w:type="dxa"/>
          </w:tcPr>
          <w:p w14:paraId="20CB3D25" w14:textId="296FD6AB" w:rsidR="00A9322A" w:rsidRPr="008C4BDF" w:rsidRDefault="00F77C59" w:rsidP="00A9322A">
            <w:pPr>
              <w:rPr>
                <w:sz w:val="20"/>
                <w:szCs w:val="20"/>
              </w:rPr>
            </w:pPr>
            <w:r>
              <w:rPr>
                <w:sz w:val="20"/>
                <w:szCs w:val="20"/>
              </w:rPr>
              <w:t xml:space="preserve">Forest Stewardship Program </w:t>
            </w:r>
            <w:r w:rsidR="00AA2755">
              <w:rPr>
                <w:sz w:val="20"/>
                <w:szCs w:val="20"/>
              </w:rPr>
              <w:t xml:space="preserve">helps landowners develop plans. </w:t>
            </w:r>
            <w:r w:rsidR="008010D6">
              <w:rPr>
                <w:sz w:val="20"/>
                <w:szCs w:val="20"/>
              </w:rPr>
              <w:t xml:space="preserve">Urban Forestry Program helps local governments with urban tree planting/buffer assistance. </w:t>
            </w:r>
          </w:p>
        </w:tc>
        <w:tc>
          <w:tcPr>
            <w:tcW w:w="5040" w:type="dxa"/>
          </w:tcPr>
          <w:p w14:paraId="2FF571E2" w14:textId="1B57A091" w:rsidR="00A9322A" w:rsidRPr="008C4BDF" w:rsidRDefault="00DF5AC3" w:rsidP="00A9322A">
            <w:pPr>
              <w:rPr>
                <w:sz w:val="20"/>
                <w:szCs w:val="20"/>
              </w:rPr>
            </w:pPr>
            <w:r>
              <w:rPr>
                <w:sz w:val="20"/>
                <w:szCs w:val="20"/>
              </w:rPr>
              <w:t>Need to u</w:t>
            </w:r>
            <w:r w:rsidRPr="00DF5AC3">
              <w:rPr>
                <w:sz w:val="20"/>
                <w:szCs w:val="20"/>
              </w:rPr>
              <w:t xml:space="preserve">nderstand landowners’ characteristics </w:t>
            </w:r>
            <w:r>
              <w:rPr>
                <w:sz w:val="20"/>
                <w:szCs w:val="20"/>
              </w:rPr>
              <w:t xml:space="preserve">to help determine </w:t>
            </w:r>
            <w:r w:rsidRPr="00DF5AC3">
              <w:rPr>
                <w:sz w:val="20"/>
                <w:szCs w:val="20"/>
              </w:rPr>
              <w:t xml:space="preserve">the </w:t>
            </w:r>
            <w:r w:rsidR="008D15C8">
              <w:rPr>
                <w:sz w:val="20"/>
                <w:szCs w:val="20"/>
              </w:rPr>
              <w:t xml:space="preserve">specific </w:t>
            </w:r>
            <w:r w:rsidRPr="00DF5AC3">
              <w:rPr>
                <w:sz w:val="20"/>
                <w:szCs w:val="20"/>
              </w:rPr>
              <w:t xml:space="preserve">type of technical </w:t>
            </w:r>
            <w:r w:rsidR="00537273">
              <w:rPr>
                <w:sz w:val="20"/>
                <w:szCs w:val="20"/>
              </w:rPr>
              <w:t xml:space="preserve">assistance </w:t>
            </w:r>
            <w:r w:rsidR="008D15C8">
              <w:rPr>
                <w:sz w:val="20"/>
                <w:szCs w:val="20"/>
              </w:rPr>
              <w:t xml:space="preserve">for </w:t>
            </w:r>
            <w:r w:rsidR="00537273">
              <w:rPr>
                <w:sz w:val="20"/>
                <w:szCs w:val="20"/>
              </w:rPr>
              <w:t xml:space="preserve">specific </w:t>
            </w:r>
            <w:r w:rsidR="008D15C8">
              <w:rPr>
                <w:sz w:val="20"/>
                <w:szCs w:val="20"/>
              </w:rPr>
              <w:t xml:space="preserve">types of </w:t>
            </w:r>
            <w:r w:rsidR="00537273">
              <w:rPr>
                <w:sz w:val="20"/>
                <w:szCs w:val="20"/>
              </w:rPr>
              <w:t>landowners</w:t>
            </w:r>
            <w:r w:rsidR="001112D9">
              <w:rPr>
                <w:sz w:val="20"/>
                <w:szCs w:val="20"/>
              </w:rPr>
              <w:t>.</w:t>
            </w:r>
          </w:p>
        </w:tc>
      </w:tr>
      <w:tr w:rsidR="00A9322A" w:rsidRPr="008C4BDF" w14:paraId="424553E7" w14:textId="77777777" w:rsidTr="00A9322A">
        <w:tc>
          <w:tcPr>
            <w:tcW w:w="3775" w:type="dxa"/>
          </w:tcPr>
          <w:p w14:paraId="1525A6D9" w14:textId="77777777" w:rsidR="00A9322A" w:rsidRPr="008C4BDF" w:rsidRDefault="00A9322A" w:rsidP="00A9322A">
            <w:pPr>
              <w:rPr>
                <w:sz w:val="20"/>
                <w:szCs w:val="20"/>
              </w:rPr>
            </w:pPr>
            <w:r w:rsidRPr="008C4BDF">
              <w:rPr>
                <w:sz w:val="20"/>
                <w:szCs w:val="20"/>
              </w:rPr>
              <w:t>Maintenance provided</w:t>
            </w:r>
          </w:p>
        </w:tc>
        <w:tc>
          <w:tcPr>
            <w:tcW w:w="4320" w:type="dxa"/>
          </w:tcPr>
          <w:p w14:paraId="607E864E" w14:textId="79885CE4" w:rsidR="00A9322A" w:rsidRPr="008C4BDF" w:rsidRDefault="00AC39CC" w:rsidP="00A9322A">
            <w:pPr>
              <w:rPr>
                <w:sz w:val="20"/>
                <w:szCs w:val="20"/>
              </w:rPr>
            </w:pPr>
            <w:r w:rsidRPr="00AC39CC">
              <w:rPr>
                <w:sz w:val="20"/>
                <w:szCs w:val="20"/>
              </w:rPr>
              <w:t xml:space="preserve">No specific examples of existing programs that </w:t>
            </w:r>
            <w:r w:rsidR="005657F9">
              <w:rPr>
                <w:sz w:val="20"/>
                <w:szCs w:val="20"/>
              </w:rPr>
              <w:t xml:space="preserve">provide RFB maintenance mentioned </w:t>
            </w:r>
            <w:r w:rsidRPr="00AC39CC">
              <w:rPr>
                <w:sz w:val="20"/>
                <w:szCs w:val="20"/>
              </w:rPr>
              <w:t>during the discussion.</w:t>
            </w:r>
            <w:r w:rsidR="005657F9">
              <w:rPr>
                <w:sz w:val="20"/>
                <w:szCs w:val="20"/>
              </w:rPr>
              <w:t xml:space="preserve"> </w:t>
            </w:r>
          </w:p>
        </w:tc>
        <w:tc>
          <w:tcPr>
            <w:tcW w:w="5040" w:type="dxa"/>
          </w:tcPr>
          <w:p w14:paraId="70F3565E" w14:textId="087AE031" w:rsidR="00A9322A" w:rsidRPr="008C4BDF" w:rsidRDefault="00D54F5E" w:rsidP="00A9322A">
            <w:pPr>
              <w:rPr>
                <w:sz w:val="20"/>
                <w:szCs w:val="20"/>
              </w:rPr>
            </w:pPr>
            <w:r>
              <w:rPr>
                <w:sz w:val="20"/>
                <w:szCs w:val="20"/>
              </w:rPr>
              <w:t xml:space="preserve">Other than </w:t>
            </w:r>
            <w:r w:rsidR="001C66AA">
              <w:rPr>
                <w:sz w:val="20"/>
                <w:szCs w:val="20"/>
              </w:rPr>
              <w:t xml:space="preserve">acknowledging the need for easy maintenance, </w:t>
            </w:r>
            <w:r w:rsidR="00EF1415">
              <w:rPr>
                <w:sz w:val="20"/>
                <w:szCs w:val="20"/>
              </w:rPr>
              <w:t>n</w:t>
            </w:r>
            <w:r w:rsidR="009513A7" w:rsidRPr="009513A7">
              <w:rPr>
                <w:sz w:val="20"/>
                <w:szCs w:val="20"/>
              </w:rPr>
              <w:t>o additional needs or challenges related to</w:t>
            </w:r>
            <w:r>
              <w:rPr>
                <w:sz w:val="20"/>
                <w:szCs w:val="20"/>
              </w:rPr>
              <w:t xml:space="preserve"> p</w:t>
            </w:r>
            <w:r w:rsidRPr="00D54F5E">
              <w:rPr>
                <w:sz w:val="20"/>
                <w:szCs w:val="20"/>
              </w:rPr>
              <w:t>rovid</w:t>
            </w:r>
            <w:r>
              <w:rPr>
                <w:sz w:val="20"/>
                <w:szCs w:val="20"/>
              </w:rPr>
              <w:t>ing</w:t>
            </w:r>
            <w:r w:rsidRPr="00D54F5E">
              <w:rPr>
                <w:sz w:val="20"/>
                <w:szCs w:val="20"/>
              </w:rPr>
              <w:t xml:space="preserve"> maintenance </w:t>
            </w:r>
            <w:r w:rsidR="00D85912">
              <w:rPr>
                <w:sz w:val="20"/>
                <w:szCs w:val="20"/>
              </w:rPr>
              <w:t xml:space="preserve">through RFB programs and projects </w:t>
            </w:r>
            <w:r w:rsidR="009513A7" w:rsidRPr="009513A7">
              <w:rPr>
                <w:sz w:val="20"/>
                <w:szCs w:val="20"/>
              </w:rPr>
              <w:t>specifically addressed during discussion.</w:t>
            </w:r>
          </w:p>
        </w:tc>
      </w:tr>
      <w:tr w:rsidR="00A9322A" w:rsidRPr="008C4BDF" w14:paraId="23A5A62A" w14:textId="77777777" w:rsidTr="00A9322A">
        <w:tc>
          <w:tcPr>
            <w:tcW w:w="3775" w:type="dxa"/>
          </w:tcPr>
          <w:p w14:paraId="78B09337" w14:textId="77777777" w:rsidR="00A9322A" w:rsidRPr="008C4BDF" w:rsidRDefault="00A9322A" w:rsidP="00A9322A">
            <w:pPr>
              <w:rPr>
                <w:sz w:val="20"/>
                <w:szCs w:val="20"/>
              </w:rPr>
            </w:pPr>
            <w:r w:rsidRPr="008C4BDF">
              <w:rPr>
                <w:sz w:val="20"/>
                <w:szCs w:val="20"/>
              </w:rPr>
              <w:t>Flexible to meet landowner needs</w:t>
            </w:r>
          </w:p>
        </w:tc>
        <w:tc>
          <w:tcPr>
            <w:tcW w:w="4320" w:type="dxa"/>
          </w:tcPr>
          <w:p w14:paraId="290C9E11" w14:textId="6732CDCA" w:rsidR="00A9322A" w:rsidRPr="008C4BDF" w:rsidRDefault="00BA42FB" w:rsidP="00A9322A">
            <w:pPr>
              <w:rPr>
                <w:sz w:val="20"/>
                <w:szCs w:val="20"/>
              </w:rPr>
            </w:pPr>
            <w:r w:rsidRPr="00BA42FB">
              <w:rPr>
                <w:sz w:val="20"/>
                <w:szCs w:val="20"/>
              </w:rPr>
              <w:t xml:space="preserve">No specific examples of existing programs that </w:t>
            </w:r>
            <w:r>
              <w:rPr>
                <w:sz w:val="20"/>
                <w:szCs w:val="20"/>
              </w:rPr>
              <w:t xml:space="preserve">are flexible to meet landowner needs </w:t>
            </w:r>
            <w:r w:rsidRPr="00BA42FB">
              <w:rPr>
                <w:sz w:val="20"/>
                <w:szCs w:val="20"/>
              </w:rPr>
              <w:t>mentioned during the discussion.</w:t>
            </w:r>
          </w:p>
        </w:tc>
        <w:tc>
          <w:tcPr>
            <w:tcW w:w="5040" w:type="dxa"/>
          </w:tcPr>
          <w:p w14:paraId="6418BA08" w14:textId="769C293E" w:rsidR="00A9322A" w:rsidRPr="008C4BDF" w:rsidRDefault="00052245" w:rsidP="00A9322A">
            <w:pPr>
              <w:rPr>
                <w:sz w:val="20"/>
                <w:szCs w:val="20"/>
              </w:rPr>
            </w:pPr>
            <w:r>
              <w:rPr>
                <w:sz w:val="20"/>
                <w:szCs w:val="20"/>
              </w:rPr>
              <w:t>Need a s</w:t>
            </w:r>
            <w:r w:rsidR="001C4677" w:rsidRPr="001C4677">
              <w:rPr>
                <w:sz w:val="20"/>
                <w:szCs w:val="20"/>
              </w:rPr>
              <w:t>ingle</w:t>
            </w:r>
            <w:r>
              <w:rPr>
                <w:sz w:val="20"/>
                <w:szCs w:val="20"/>
              </w:rPr>
              <w:t>, simple</w:t>
            </w:r>
            <w:r w:rsidR="001C4677" w:rsidRPr="001C4677">
              <w:rPr>
                <w:sz w:val="20"/>
                <w:szCs w:val="20"/>
              </w:rPr>
              <w:t xml:space="preserve"> RFB program that is simple for landowners to navigate, as opposed to a suite of different programs throughout the state, might be beneficial. However, existing state contracting requirements and processes might pose as a barrier for the creation of a single, simple program</w:t>
            </w:r>
          </w:p>
        </w:tc>
      </w:tr>
      <w:tr w:rsidR="00A9322A" w:rsidRPr="008C4BDF" w14:paraId="0CFD0B2A" w14:textId="77777777" w:rsidTr="00A9322A">
        <w:tc>
          <w:tcPr>
            <w:tcW w:w="3775" w:type="dxa"/>
          </w:tcPr>
          <w:p w14:paraId="24E46A42" w14:textId="77777777" w:rsidR="00A9322A" w:rsidRPr="008C4BDF" w:rsidRDefault="00A9322A" w:rsidP="00A9322A">
            <w:pPr>
              <w:rPr>
                <w:sz w:val="20"/>
                <w:szCs w:val="20"/>
              </w:rPr>
            </w:pPr>
            <w:r w:rsidRPr="008C4BDF">
              <w:rPr>
                <w:sz w:val="20"/>
                <w:szCs w:val="20"/>
              </w:rPr>
              <w:t>Available to agricultural and non-agricultural landowners</w:t>
            </w:r>
          </w:p>
        </w:tc>
        <w:tc>
          <w:tcPr>
            <w:tcW w:w="4320" w:type="dxa"/>
          </w:tcPr>
          <w:p w14:paraId="69CD2703" w14:textId="0DE10A86" w:rsidR="00DB7631" w:rsidRPr="008C4BDF" w:rsidRDefault="00DB7631" w:rsidP="00A9322A">
            <w:pPr>
              <w:rPr>
                <w:sz w:val="20"/>
                <w:szCs w:val="20"/>
              </w:rPr>
            </w:pPr>
            <w:r>
              <w:rPr>
                <w:sz w:val="20"/>
                <w:szCs w:val="20"/>
              </w:rPr>
              <w:t xml:space="preserve">TEDI </w:t>
            </w:r>
            <w:r w:rsidR="005544D9">
              <w:rPr>
                <w:sz w:val="20"/>
                <w:szCs w:val="20"/>
              </w:rPr>
              <w:t xml:space="preserve">funds projects for both urban and rural </w:t>
            </w:r>
            <w:r>
              <w:rPr>
                <w:sz w:val="20"/>
                <w:szCs w:val="20"/>
              </w:rPr>
              <w:t>landowners</w:t>
            </w:r>
            <w:r w:rsidR="003F3E2D">
              <w:rPr>
                <w:sz w:val="20"/>
                <w:szCs w:val="20"/>
              </w:rPr>
              <w:t xml:space="preserve">. </w:t>
            </w:r>
            <w:r>
              <w:rPr>
                <w:sz w:val="20"/>
                <w:szCs w:val="20"/>
              </w:rPr>
              <w:t xml:space="preserve">Forest Stewardship Program and cost-share programs </w:t>
            </w:r>
            <w:r w:rsidR="00EA3F15">
              <w:rPr>
                <w:sz w:val="20"/>
                <w:szCs w:val="20"/>
              </w:rPr>
              <w:t>address agricultural landowners</w:t>
            </w:r>
            <w:r w:rsidR="005F6A5C">
              <w:rPr>
                <w:sz w:val="20"/>
                <w:szCs w:val="20"/>
              </w:rPr>
              <w:t>.</w:t>
            </w:r>
          </w:p>
        </w:tc>
        <w:tc>
          <w:tcPr>
            <w:tcW w:w="5040" w:type="dxa"/>
          </w:tcPr>
          <w:p w14:paraId="7E5E9167" w14:textId="337475A0" w:rsidR="00A9322A" w:rsidRPr="008C4BDF" w:rsidRDefault="00A42F77" w:rsidP="00A9322A">
            <w:pPr>
              <w:rPr>
                <w:sz w:val="20"/>
                <w:szCs w:val="20"/>
              </w:rPr>
            </w:pPr>
            <w:r>
              <w:rPr>
                <w:sz w:val="20"/>
                <w:szCs w:val="20"/>
              </w:rPr>
              <w:t>N</w:t>
            </w:r>
            <w:r w:rsidRPr="00A42F77">
              <w:rPr>
                <w:sz w:val="20"/>
                <w:szCs w:val="20"/>
              </w:rPr>
              <w:t xml:space="preserve">o additional needs or challenges related to </w:t>
            </w:r>
            <w:r>
              <w:rPr>
                <w:sz w:val="20"/>
                <w:szCs w:val="20"/>
              </w:rPr>
              <w:t xml:space="preserve">landowner availability </w:t>
            </w:r>
            <w:r w:rsidRPr="00A42F77">
              <w:rPr>
                <w:sz w:val="20"/>
                <w:szCs w:val="20"/>
              </w:rPr>
              <w:t>specifically addressed during discussion.</w:t>
            </w:r>
            <w:r>
              <w:rPr>
                <w:sz w:val="20"/>
                <w:szCs w:val="20"/>
              </w:rPr>
              <w:t xml:space="preserve"> </w:t>
            </w:r>
          </w:p>
        </w:tc>
      </w:tr>
      <w:tr w:rsidR="00A9322A" w:rsidRPr="008C4BDF" w14:paraId="5B114102" w14:textId="77777777" w:rsidTr="00A9322A">
        <w:tc>
          <w:tcPr>
            <w:tcW w:w="3775" w:type="dxa"/>
          </w:tcPr>
          <w:p w14:paraId="62A20FB7" w14:textId="4A63A75A" w:rsidR="00A9322A" w:rsidRPr="008C4BDF" w:rsidRDefault="006C7975" w:rsidP="006C7975">
            <w:pPr>
              <w:rPr>
                <w:sz w:val="20"/>
                <w:szCs w:val="20"/>
              </w:rPr>
            </w:pPr>
            <w:r>
              <w:rPr>
                <w:sz w:val="20"/>
                <w:szCs w:val="20"/>
              </w:rPr>
              <w:t>Program i</w:t>
            </w:r>
            <w:r w:rsidRPr="006C7975">
              <w:rPr>
                <w:sz w:val="20"/>
                <w:szCs w:val="20"/>
              </w:rPr>
              <w:t xml:space="preserve">ntegration </w:t>
            </w:r>
            <w:r>
              <w:rPr>
                <w:sz w:val="20"/>
                <w:szCs w:val="20"/>
              </w:rPr>
              <w:t xml:space="preserve">and </w:t>
            </w:r>
            <w:r w:rsidR="00AD5587">
              <w:rPr>
                <w:sz w:val="20"/>
                <w:szCs w:val="20"/>
              </w:rPr>
              <w:t xml:space="preserve">pairing to incorporate </w:t>
            </w:r>
            <w:r w:rsidRPr="006C7975">
              <w:rPr>
                <w:sz w:val="20"/>
                <w:szCs w:val="20"/>
              </w:rPr>
              <w:t xml:space="preserve">buffers into other existing like-minded state programs (for example, land </w:t>
            </w:r>
            <w:r w:rsidR="00AD5587">
              <w:rPr>
                <w:sz w:val="20"/>
                <w:szCs w:val="20"/>
              </w:rPr>
              <w:t xml:space="preserve">conservation, </w:t>
            </w:r>
            <w:r w:rsidRPr="006C7975">
              <w:rPr>
                <w:sz w:val="20"/>
                <w:szCs w:val="20"/>
              </w:rPr>
              <w:t>state revolving loan fund program</w:t>
            </w:r>
            <w:r w:rsidR="00AD5587">
              <w:rPr>
                <w:sz w:val="20"/>
                <w:szCs w:val="20"/>
              </w:rPr>
              <w:t>, stream restoration</w:t>
            </w:r>
            <w:r w:rsidRPr="006C7975">
              <w:rPr>
                <w:sz w:val="20"/>
                <w:szCs w:val="20"/>
              </w:rPr>
              <w:t xml:space="preserve">) </w:t>
            </w:r>
          </w:p>
        </w:tc>
        <w:tc>
          <w:tcPr>
            <w:tcW w:w="4320" w:type="dxa"/>
          </w:tcPr>
          <w:p w14:paraId="7E41C7ED" w14:textId="385ADBEF" w:rsidR="00A9322A" w:rsidRPr="008C4BDF" w:rsidRDefault="008010D6" w:rsidP="00A9322A">
            <w:pPr>
              <w:rPr>
                <w:sz w:val="20"/>
                <w:szCs w:val="20"/>
              </w:rPr>
            </w:pPr>
            <w:r>
              <w:rPr>
                <w:sz w:val="20"/>
                <w:szCs w:val="20"/>
              </w:rPr>
              <w:t xml:space="preserve">Section 319 funding, CBIG, and </w:t>
            </w:r>
            <w:r w:rsidR="008A27C5">
              <w:rPr>
                <w:sz w:val="20"/>
                <w:szCs w:val="20"/>
              </w:rPr>
              <w:t>TEDI rel</w:t>
            </w:r>
            <w:r>
              <w:rPr>
                <w:sz w:val="20"/>
                <w:szCs w:val="20"/>
              </w:rPr>
              <w:t>y</w:t>
            </w:r>
            <w:r w:rsidR="008A27C5">
              <w:rPr>
                <w:sz w:val="20"/>
                <w:szCs w:val="20"/>
              </w:rPr>
              <w:t xml:space="preserve"> on partnerships</w:t>
            </w:r>
            <w:r w:rsidR="00395907">
              <w:rPr>
                <w:sz w:val="20"/>
                <w:szCs w:val="20"/>
              </w:rPr>
              <w:t xml:space="preserve">. </w:t>
            </w:r>
            <w:r w:rsidR="008A27C5" w:rsidRPr="008A27C5">
              <w:rPr>
                <w:sz w:val="20"/>
                <w:szCs w:val="20"/>
              </w:rPr>
              <w:t>Delaware Department of Agriculture’s Urban and Community Forestry Program is a conduit for TEDI money for urban trees</w:t>
            </w:r>
            <w:r w:rsidR="004E3CFC">
              <w:rPr>
                <w:sz w:val="20"/>
                <w:szCs w:val="20"/>
              </w:rPr>
              <w:t>.</w:t>
            </w:r>
          </w:p>
        </w:tc>
        <w:tc>
          <w:tcPr>
            <w:tcW w:w="5040" w:type="dxa"/>
          </w:tcPr>
          <w:p w14:paraId="3C9FD73E" w14:textId="6AD504EB" w:rsidR="00A9322A" w:rsidRPr="008C4BDF" w:rsidRDefault="00134009" w:rsidP="00A9322A">
            <w:pPr>
              <w:rPr>
                <w:sz w:val="20"/>
                <w:szCs w:val="20"/>
              </w:rPr>
            </w:pPr>
            <w:r>
              <w:rPr>
                <w:sz w:val="20"/>
                <w:szCs w:val="20"/>
              </w:rPr>
              <w:t xml:space="preserve">Delaware Forest Service </w:t>
            </w:r>
            <w:r w:rsidR="0087449B" w:rsidRPr="0087449B">
              <w:rPr>
                <w:sz w:val="20"/>
                <w:szCs w:val="20"/>
              </w:rPr>
              <w:t>wants to bolster their program</w:t>
            </w:r>
            <w:r>
              <w:rPr>
                <w:sz w:val="20"/>
                <w:szCs w:val="20"/>
              </w:rPr>
              <w:t>s</w:t>
            </w:r>
            <w:r w:rsidR="004B6DF2">
              <w:rPr>
                <w:sz w:val="20"/>
                <w:szCs w:val="20"/>
              </w:rPr>
              <w:t>. Currently, TEDI funding</w:t>
            </w:r>
            <w:r w:rsidR="008010D6">
              <w:rPr>
                <w:sz w:val="20"/>
                <w:szCs w:val="20"/>
              </w:rPr>
              <w:t>, Section 319,</w:t>
            </w:r>
            <w:r w:rsidR="004B6DF2">
              <w:rPr>
                <w:sz w:val="20"/>
                <w:szCs w:val="20"/>
              </w:rPr>
              <w:t xml:space="preserve"> and </w:t>
            </w:r>
            <w:r w:rsidR="00E17F20">
              <w:rPr>
                <w:sz w:val="20"/>
                <w:szCs w:val="20"/>
              </w:rPr>
              <w:t>CBIG</w:t>
            </w:r>
            <w:r w:rsidR="004B6DF2">
              <w:rPr>
                <w:sz w:val="20"/>
                <w:szCs w:val="20"/>
              </w:rPr>
              <w:t xml:space="preserve"> funding are provided to DFS to assist with urban forestry and stewardship needs.  </w:t>
            </w:r>
          </w:p>
        </w:tc>
      </w:tr>
      <w:tr w:rsidR="000C6799" w:rsidRPr="008C4BDF" w14:paraId="4DD9F6BE" w14:textId="77777777" w:rsidTr="00A17E02">
        <w:tc>
          <w:tcPr>
            <w:tcW w:w="13135" w:type="dxa"/>
            <w:gridSpan w:val="3"/>
            <w:shd w:val="clear" w:color="auto" w:fill="D9E2F3" w:themeFill="accent1" w:themeFillTint="33"/>
          </w:tcPr>
          <w:p w14:paraId="753A04E0" w14:textId="22FBC35D" w:rsidR="000C6799" w:rsidRPr="008C4BDF" w:rsidRDefault="000C6799" w:rsidP="00A9322A">
            <w:pPr>
              <w:rPr>
                <w:sz w:val="20"/>
                <w:szCs w:val="20"/>
              </w:rPr>
            </w:pPr>
            <w:r w:rsidRPr="008C4BDF">
              <w:rPr>
                <w:b/>
                <w:bCs/>
                <w:i/>
                <w:iCs/>
                <w:sz w:val="20"/>
                <w:szCs w:val="20"/>
              </w:rPr>
              <w:t>Enabling Conditions</w:t>
            </w:r>
          </w:p>
        </w:tc>
      </w:tr>
      <w:tr w:rsidR="00162E4D" w:rsidRPr="008C4BDF" w14:paraId="500D9D0C" w14:textId="77777777" w:rsidTr="00A9322A">
        <w:tc>
          <w:tcPr>
            <w:tcW w:w="3775" w:type="dxa"/>
          </w:tcPr>
          <w:p w14:paraId="39B12FCD" w14:textId="4FA6957B" w:rsidR="00162E4D" w:rsidRPr="008C4BDF" w:rsidRDefault="00162E4D" w:rsidP="00162E4D">
            <w:pPr>
              <w:rPr>
                <w:sz w:val="20"/>
                <w:szCs w:val="20"/>
              </w:rPr>
            </w:pPr>
            <w:r>
              <w:rPr>
                <w:sz w:val="20"/>
                <w:szCs w:val="20"/>
              </w:rPr>
              <w:t>A</w:t>
            </w:r>
            <w:r w:rsidRPr="00162E4D">
              <w:rPr>
                <w:sz w:val="20"/>
                <w:szCs w:val="20"/>
              </w:rPr>
              <w:t xml:space="preserve">dequate </w:t>
            </w:r>
            <w:r>
              <w:rPr>
                <w:sz w:val="20"/>
                <w:szCs w:val="20"/>
              </w:rPr>
              <w:t xml:space="preserve">state </w:t>
            </w:r>
            <w:r w:rsidRPr="00162E4D">
              <w:rPr>
                <w:sz w:val="20"/>
                <w:szCs w:val="20"/>
              </w:rPr>
              <w:t>staff to effectively implement programs</w:t>
            </w:r>
            <w:r w:rsidRPr="00162E4D">
              <w:rPr>
                <w:sz w:val="20"/>
                <w:szCs w:val="20"/>
              </w:rPr>
              <w:tab/>
            </w:r>
          </w:p>
        </w:tc>
        <w:tc>
          <w:tcPr>
            <w:tcW w:w="4320" w:type="dxa"/>
          </w:tcPr>
          <w:p w14:paraId="5D83A66F" w14:textId="5F5FF374" w:rsidR="00162E4D" w:rsidRPr="008C4BDF" w:rsidRDefault="00E85562" w:rsidP="00A9322A">
            <w:pPr>
              <w:rPr>
                <w:sz w:val="20"/>
                <w:szCs w:val="20"/>
              </w:rPr>
            </w:pPr>
            <w:r>
              <w:rPr>
                <w:sz w:val="20"/>
                <w:szCs w:val="20"/>
              </w:rPr>
              <w:t>Key staff in key programs</w:t>
            </w:r>
            <w:r w:rsidR="005569E7">
              <w:rPr>
                <w:sz w:val="20"/>
                <w:szCs w:val="20"/>
              </w:rPr>
              <w:t xml:space="preserve">, but not at adequate levels. </w:t>
            </w:r>
          </w:p>
        </w:tc>
        <w:tc>
          <w:tcPr>
            <w:tcW w:w="5040" w:type="dxa"/>
          </w:tcPr>
          <w:p w14:paraId="1E94DDCC" w14:textId="3F33ED3E" w:rsidR="00162E4D" w:rsidRDefault="00203D2F" w:rsidP="00A9322A">
            <w:pPr>
              <w:rPr>
                <w:sz w:val="20"/>
                <w:szCs w:val="20"/>
              </w:rPr>
            </w:pPr>
            <w:r w:rsidRPr="00203D2F">
              <w:rPr>
                <w:sz w:val="20"/>
                <w:szCs w:val="20"/>
              </w:rPr>
              <w:t xml:space="preserve">Delaware has less </w:t>
            </w:r>
            <w:r w:rsidR="00F95792">
              <w:rPr>
                <w:sz w:val="20"/>
                <w:szCs w:val="20"/>
              </w:rPr>
              <w:t xml:space="preserve">trained </w:t>
            </w:r>
            <w:r w:rsidRPr="00203D2F">
              <w:rPr>
                <w:sz w:val="20"/>
                <w:szCs w:val="20"/>
              </w:rPr>
              <w:t xml:space="preserve">boots-on-the-ground staff </w:t>
            </w:r>
            <w:r w:rsidR="00F95792">
              <w:rPr>
                <w:sz w:val="20"/>
                <w:szCs w:val="20"/>
              </w:rPr>
              <w:t xml:space="preserve">with comprehensive program knowledge </w:t>
            </w:r>
            <w:r w:rsidRPr="00203D2F">
              <w:rPr>
                <w:sz w:val="20"/>
                <w:szCs w:val="20"/>
              </w:rPr>
              <w:t xml:space="preserve">to build landowner relationships and pitch buffer projects to landowners due </w:t>
            </w:r>
            <w:r w:rsidRPr="00203D2F">
              <w:rPr>
                <w:sz w:val="20"/>
                <w:szCs w:val="20"/>
              </w:rPr>
              <w:lastRenderedPageBreak/>
              <w:t>to attrition</w:t>
            </w:r>
            <w:r w:rsidR="008A484E">
              <w:rPr>
                <w:sz w:val="20"/>
                <w:szCs w:val="20"/>
              </w:rPr>
              <w:t xml:space="preserve">; this </w:t>
            </w:r>
            <w:r w:rsidR="00C66655">
              <w:rPr>
                <w:sz w:val="20"/>
                <w:szCs w:val="20"/>
              </w:rPr>
              <w:t>contribut</w:t>
            </w:r>
            <w:r w:rsidR="008A484E">
              <w:rPr>
                <w:sz w:val="20"/>
                <w:szCs w:val="20"/>
              </w:rPr>
              <w:t>es</w:t>
            </w:r>
            <w:r w:rsidR="00C66655">
              <w:rPr>
                <w:sz w:val="20"/>
                <w:szCs w:val="20"/>
              </w:rPr>
              <w:t xml:space="preserve"> to</w:t>
            </w:r>
            <w:r w:rsidRPr="00203D2F">
              <w:rPr>
                <w:sz w:val="20"/>
                <w:szCs w:val="20"/>
              </w:rPr>
              <w:t xml:space="preserve"> diminished </w:t>
            </w:r>
            <w:r>
              <w:rPr>
                <w:sz w:val="20"/>
                <w:szCs w:val="20"/>
              </w:rPr>
              <w:t xml:space="preserve">landowner </w:t>
            </w:r>
            <w:r w:rsidRPr="00203D2F">
              <w:rPr>
                <w:sz w:val="20"/>
                <w:szCs w:val="20"/>
              </w:rPr>
              <w:t>demand.</w:t>
            </w:r>
            <w:r>
              <w:rPr>
                <w:sz w:val="20"/>
                <w:szCs w:val="20"/>
              </w:rPr>
              <w:t xml:space="preserve"> </w:t>
            </w:r>
            <w:r w:rsidR="00086066">
              <w:rPr>
                <w:sz w:val="20"/>
                <w:szCs w:val="20"/>
              </w:rPr>
              <w:t xml:space="preserve">Could </w:t>
            </w:r>
            <w:r w:rsidR="001C4FE8">
              <w:rPr>
                <w:sz w:val="20"/>
                <w:szCs w:val="20"/>
              </w:rPr>
              <w:t xml:space="preserve">partner with the </w:t>
            </w:r>
            <w:r w:rsidR="001C4FE8" w:rsidRPr="001C4FE8">
              <w:rPr>
                <w:sz w:val="20"/>
                <w:szCs w:val="20"/>
              </w:rPr>
              <w:t>University of Delaware Cooperative Extension</w:t>
            </w:r>
            <w:r w:rsidR="0090106F">
              <w:rPr>
                <w:sz w:val="20"/>
                <w:szCs w:val="20"/>
              </w:rPr>
              <w:t xml:space="preserve"> staff and leverage their work</w:t>
            </w:r>
            <w:r w:rsidR="009B50B0">
              <w:rPr>
                <w:sz w:val="20"/>
                <w:szCs w:val="20"/>
              </w:rPr>
              <w:t xml:space="preserve"> to address this need</w:t>
            </w:r>
            <w:r w:rsidR="0090106F">
              <w:rPr>
                <w:sz w:val="20"/>
                <w:szCs w:val="20"/>
              </w:rPr>
              <w:t>.</w:t>
            </w:r>
          </w:p>
        </w:tc>
      </w:tr>
      <w:tr w:rsidR="00162E4D" w:rsidRPr="008C4BDF" w14:paraId="41C57ACF" w14:textId="77777777" w:rsidTr="00A9322A">
        <w:tc>
          <w:tcPr>
            <w:tcW w:w="3775" w:type="dxa"/>
          </w:tcPr>
          <w:p w14:paraId="439B20CD" w14:textId="74A24BD4" w:rsidR="00162E4D" w:rsidRPr="008C4BDF" w:rsidRDefault="00162E4D" w:rsidP="00A9322A">
            <w:pPr>
              <w:rPr>
                <w:sz w:val="20"/>
                <w:szCs w:val="20"/>
              </w:rPr>
            </w:pPr>
            <w:r>
              <w:rPr>
                <w:sz w:val="20"/>
                <w:szCs w:val="20"/>
              </w:rPr>
              <w:lastRenderedPageBreak/>
              <w:t>Adequate p</w:t>
            </w:r>
            <w:r w:rsidRPr="00162E4D">
              <w:rPr>
                <w:sz w:val="20"/>
                <w:szCs w:val="20"/>
              </w:rPr>
              <w:t>rogram</w:t>
            </w:r>
            <w:r w:rsidR="009B1AD6">
              <w:rPr>
                <w:sz w:val="20"/>
                <w:szCs w:val="20"/>
              </w:rPr>
              <w:t xml:space="preserve"> funding </w:t>
            </w:r>
            <w:r w:rsidRPr="00162E4D">
              <w:rPr>
                <w:sz w:val="20"/>
                <w:szCs w:val="20"/>
              </w:rPr>
              <w:t>to meet demand for buffers</w:t>
            </w:r>
          </w:p>
        </w:tc>
        <w:tc>
          <w:tcPr>
            <w:tcW w:w="4320" w:type="dxa"/>
          </w:tcPr>
          <w:p w14:paraId="31462952" w14:textId="080D820E" w:rsidR="000A29AD" w:rsidRPr="008C4BDF" w:rsidRDefault="0006770A" w:rsidP="00A9322A">
            <w:pPr>
              <w:rPr>
                <w:sz w:val="20"/>
                <w:szCs w:val="20"/>
              </w:rPr>
            </w:pPr>
            <w:r>
              <w:rPr>
                <w:sz w:val="20"/>
                <w:szCs w:val="20"/>
              </w:rPr>
              <w:t>TEDI has funding</w:t>
            </w:r>
            <w:r w:rsidR="00395907">
              <w:rPr>
                <w:sz w:val="20"/>
                <w:szCs w:val="20"/>
              </w:rPr>
              <w:t xml:space="preserve">. </w:t>
            </w:r>
            <w:r w:rsidR="008E4429" w:rsidRPr="008E4429">
              <w:rPr>
                <w:sz w:val="20"/>
                <w:szCs w:val="20"/>
              </w:rPr>
              <w:t>Department of Agriculture’s Forest Stewardship Program has funding</w:t>
            </w:r>
            <w:r w:rsidR="00F53A9E">
              <w:rPr>
                <w:sz w:val="20"/>
                <w:szCs w:val="20"/>
              </w:rPr>
              <w:t>.</w:t>
            </w:r>
            <w:r w:rsidR="007F2956">
              <w:rPr>
                <w:sz w:val="20"/>
                <w:szCs w:val="20"/>
              </w:rPr>
              <w:t xml:space="preserve"> </w:t>
            </w:r>
            <w:r w:rsidR="004B6DF2">
              <w:rPr>
                <w:sz w:val="20"/>
                <w:szCs w:val="20"/>
              </w:rPr>
              <w:t xml:space="preserve">However, both programs could use additional funding. </w:t>
            </w:r>
          </w:p>
        </w:tc>
        <w:tc>
          <w:tcPr>
            <w:tcW w:w="5040" w:type="dxa"/>
          </w:tcPr>
          <w:p w14:paraId="6BAC0840" w14:textId="7533E52E" w:rsidR="00162E4D" w:rsidRDefault="00E90740" w:rsidP="00A9322A">
            <w:pPr>
              <w:rPr>
                <w:sz w:val="20"/>
                <w:szCs w:val="20"/>
              </w:rPr>
            </w:pPr>
            <w:r>
              <w:rPr>
                <w:sz w:val="20"/>
                <w:szCs w:val="20"/>
              </w:rPr>
              <w:t xml:space="preserve">NRCS will not have adequate funding to meet the level of implementation to achieve the </w:t>
            </w:r>
            <w:r w:rsidR="003D08E3">
              <w:rPr>
                <w:sz w:val="20"/>
                <w:szCs w:val="20"/>
              </w:rPr>
              <w:t xml:space="preserve">Chesapeake </w:t>
            </w:r>
            <w:r>
              <w:rPr>
                <w:sz w:val="20"/>
                <w:szCs w:val="20"/>
              </w:rPr>
              <w:t xml:space="preserve">Bay RFB </w:t>
            </w:r>
            <w:r w:rsidR="003D08E3">
              <w:rPr>
                <w:sz w:val="20"/>
                <w:szCs w:val="20"/>
              </w:rPr>
              <w:t>o</w:t>
            </w:r>
            <w:r>
              <w:rPr>
                <w:sz w:val="20"/>
                <w:szCs w:val="20"/>
              </w:rPr>
              <w:t>utcome</w:t>
            </w:r>
            <w:r w:rsidR="007F2956">
              <w:rPr>
                <w:sz w:val="20"/>
                <w:szCs w:val="20"/>
              </w:rPr>
              <w:t>.</w:t>
            </w:r>
          </w:p>
        </w:tc>
      </w:tr>
      <w:tr w:rsidR="00A9322A" w:rsidRPr="008C4BDF" w14:paraId="26F725AB" w14:textId="77777777" w:rsidTr="00A9322A">
        <w:tc>
          <w:tcPr>
            <w:tcW w:w="3775" w:type="dxa"/>
          </w:tcPr>
          <w:p w14:paraId="3DDBAA1F" w14:textId="77777777" w:rsidR="00A9322A" w:rsidRPr="008C4BDF" w:rsidRDefault="00A9322A" w:rsidP="00A9322A">
            <w:pPr>
              <w:rPr>
                <w:sz w:val="20"/>
                <w:szCs w:val="20"/>
              </w:rPr>
            </w:pPr>
            <w:r w:rsidRPr="008C4BDF">
              <w:rPr>
                <w:sz w:val="20"/>
                <w:szCs w:val="20"/>
              </w:rPr>
              <w:t>Cost-effective restoration contractors available to complete work</w:t>
            </w:r>
          </w:p>
        </w:tc>
        <w:tc>
          <w:tcPr>
            <w:tcW w:w="4320" w:type="dxa"/>
          </w:tcPr>
          <w:p w14:paraId="2F1A2B99" w14:textId="61A00244" w:rsidR="00A9322A" w:rsidRPr="008C4BDF" w:rsidRDefault="00D45883" w:rsidP="00A9322A">
            <w:pPr>
              <w:rPr>
                <w:sz w:val="20"/>
                <w:szCs w:val="20"/>
              </w:rPr>
            </w:pPr>
            <w:r w:rsidRPr="00D45883">
              <w:rPr>
                <w:sz w:val="20"/>
                <w:szCs w:val="20"/>
              </w:rPr>
              <w:t>No specific examples of existing program</w:t>
            </w:r>
            <w:r>
              <w:rPr>
                <w:sz w:val="20"/>
                <w:szCs w:val="20"/>
              </w:rPr>
              <w:t xml:space="preserve">s that </w:t>
            </w:r>
            <w:r w:rsidR="00CD4662">
              <w:rPr>
                <w:sz w:val="20"/>
                <w:szCs w:val="20"/>
              </w:rPr>
              <w:t xml:space="preserve">make cost-effective restoration </w:t>
            </w:r>
            <w:r w:rsidR="002171AF">
              <w:rPr>
                <w:sz w:val="20"/>
                <w:szCs w:val="20"/>
              </w:rPr>
              <w:t>contractors</w:t>
            </w:r>
            <w:r w:rsidR="00CD4662">
              <w:rPr>
                <w:sz w:val="20"/>
                <w:szCs w:val="20"/>
              </w:rPr>
              <w:t xml:space="preserve"> </w:t>
            </w:r>
            <w:r w:rsidR="002171AF">
              <w:rPr>
                <w:sz w:val="20"/>
                <w:szCs w:val="20"/>
              </w:rPr>
              <w:t xml:space="preserve">available to complete RFB work </w:t>
            </w:r>
            <w:r w:rsidRPr="00D45883">
              <w:rPr>
                <w:sz w:val="20"/>
                <w:szCs w:val="20"/>
              </w:rPr>
              <w:t>mentioned during the discussion.</w:t>
            </w:r>
          </w:p>
        </w:tc>
        <w:tc>
          <w:tcPr>
            <w:tcW w:w="5040" w:type="dxa"/>
          </w:tcPr>
          <w:p w14:paraId="1A07593C" w14:textId="112751A8" w:rsidR="00A9322A" w:rsidRPr="008C4BDF" w:rsidRDefault="00A32406" w:rsidP="00A9322A">
            <w:pPr>
              <w:rPr>
                <w:sz w:val="20"/>
                <w:szCs w:val="20"/>
              </w:rPr>
            </w:pPr>
            <w:r>
              <w:rPr>
                <w:sz w:val="20"/>
                <w:szCs w:val="20"/>
              </w:rPr>
              <w:t>There is a n</w:t>
            </w:r>
            <w:r w:rsidRPr="00A32406">
              <w:rPr>
                <w:sz w:val="20"/>
                <w:szCs w:val="20"/>
              </w:rPr>
              <w:t>eed to create a list of companies who are trained and cost-effective restoration contractors; expertise is essential</w:t>
            </w:r>
            <w:r w:rsidR="000200EC">
              <w:rPr>
                <w:sz w:val="20"/>
                <w:szCs w:val="20"/>
              </w:rPr>
              <w:t>.</w:t>
            </w:r>
          </w:p>
        </w:tc>
      </w:tr>
      <w:tr w:rsidR="00A9322A" w:rsidRPr="008C4BDF" w14:paraId="28871775" w14:textId="77777777" w:rsidTr="00A9322A">
        <w:tc>
          <w:tcPr>
            <w:tcW w:w="3775" w:type="dxa"/>
          </w:tcPr>
          <w:p w14:paraId="726CE6E9" w14:textId="77777777" w:rsidR="00A9322A" w:rsidRPr="008C4BDF" w:rsidRDefault="00A9322A" w:rsidP="00A9322A">
            <w:pPr>
              <w:rPr>
                <w:sz w:val="20"/>
                <w:szCs w:val="20"/>
              </w:rPr>
            </w:pPr>
            <w:r w:rsidRPr="008C4BDF">
              <w:rPr>
                <w:sz w:val="20"/>
                <w:szCs w:val="20"/>
              </w:rPr>
              <w:t xml:space="preserve">Trained technical assistance providers available to work with landowners </w:t>
            </w:r>
          </w:p>
        </w:tc>
        <w:tc>
          <w:tcPr>
            <w:tcW w:w="4320" w:type="dxa"/>
          </w:tcPr>
          <w:p w14:paraId="56E37806" w14:textId="371A6999" w:rsidR="00A9322A" w:rsidRPr="008C4BDF" w:rsidRDefault="00CC4335" w:rsidP="00A9322A">
            <w:pPr>
              <w:rPr>
                <w:sz w:val="20"/>
                <w:szCs w:val="20"/>
              </w:rPr>
            </w:pPr>
            <w:r w:rsidRPr="00CC4335">
              <w:rPr>
                <w:sz w:val="20"/>
                <w:szCs w:val="20"/>
              </w:rPr>
              <w:t xml:space="preserve">No specific examples of existing programs that make </w:t>
            </w:r>
            <w:r w:rsidR="002815C0">
              <w:rPr>
                <w:sz w:val="20"/>
                <w:szCs w:val="20"/>
              </w:rPr>
              <w:t>trained technical assistance providers available to work with landowners</w:t>
            </w:r>
            <w:r w:rsidRPr="00CC4335">
              <w:rPr>
                <w:sz w:val="20"/>
                <w:szCs w:val="20"/>
              </w:rPr>
              <w:t xml:space="preserve"> mentioned during the discussion.</w:t>
            </w:r>
          </w:p>
        </w:tc>
        <w:tc>
          <w:tcPr>
            <w:tcW w:w="5040" w:type="dxa"/>
          </w:tcPr>
          <w:p w14:paraId="6F804FED" w14:textId="03CE0DCD" w:rsidR="00A9322A" w:rsidRPr="008C4BDF" w:rsidRDefault="005C1BD4" w:rsidP="00A9322A">
            <w:pPr>
              <w:rPr>
                <w:sz w:val="20"/>
                <w:szCs w:val="20"/>
              </w:rPr>
            </w:pPr>
            <w:r>
              <w:rPr>
                <w:sz w:val="20"/>
                <w:szCs w:val="20"/>
              </w:rPr>
              <w:t xml:space="preserve">There is a need for more trained </w:t>
            </w:r>
            <w:r w:rsidR="003B41B5">
              <w:rPr>
                <w:sz w:val="20"/>
                <w:szCs w:val="20"/>
              </w:rPr>
              <w:t>technical assistance providers; see staffing needs</w:t>
            </w:r>
          </w:p>
        </w:tc>
      </w:tr>
      <w:tr w:rsidR="00A9322A" w:rsidRPr="008C4BDF" w14:paraId="20AEC783" w14:textId="77777777" w:rsidTr="00A9322A">
        <w:tc>
          <w:tcPr>
            <w:tcW w:w="3775" w:type="dxa"/>
          </w:tcPr>
          <w:p w14:paraId="2DF94ECB" w14:textId="77777777" w:rsidR="00A9322A" w:rsidRPr="008C4BDF" w:rsidRDefault="00A9322A" w:rsidP="00A9322A">
            <w:pPr>
              <w:rPr>
                <w:sz w:val="20"/>
                <w:szCs w:val="20"/>
              </w:rPr>
            </w:pPr>
            <w:r w:rsidRPr="008C4BDF">
              <w:rPr>
                <w:sz w:val="20"/>
                <w:szCs w:val="20"/>
              </w:rPr>
              <w:t>High-level coordination and direction at state-level (including a state Buffer Strategy)</w:t>
            </w:r>
          </w:p>
        </w:tc>
        <w:tc>
          <w:tcPr>
            <w:tcW w:w="4320" w:type="dxa"/>
          </w:tcPr>
          <w:p w14:paraId="50508302" w14:textId="054A93A8" w:rsidR="00A9322A" w:rsidRPr="008C4BDF" w:rsidRDefault="00AD6DBA" w:rsidP="00A9322A">
            <w:pPr>
              <w:rPr>
                <w:sz w:val="20"/>
                <w:szCs w:val="20"/>
              </w:rPr>
            </w:pPr>
            <w:r>
              <w:rPr>
                <w:sz w:val="20"/>
                <w:szCs w:val="20"/>
              </w:rPr>
              <w:t xml:space="preserve">Strategy in development. </w:t>
            </w:r>
            <w:r w:rsidR="00E212A5">
              <w:rPr>
                <w:sz w:val="20"/>
                <w:szCs w:val="20"/>
              </w:rPr>
              <w:t xml:space="preserve">Many committed individuals in key agencies throughout the state. </w:t>
            </w:r>
          </w:p>
        </w:tc>
        <w:tc>
          <w:tcPr>
            <w:tcW w:w="5040" w:type="dxa"/>
          </w:tcPr>
          <w:p w14:paraId="3BBEC595" w14:textId="3C7D4250" w:rsidR="00A9322A" w:rsidRPr="008C4BDF" w:rsidRDefault="00C4682F" w:rsidP="00A9322A">
            <w:pPr>
              <w:rPr>
                <w:sz w:val="20"/>
                <w:szCs w:val="20"/>
              </w:rPr>
            </w:pPr>
            <w:r>
              <w:rPr>
                <w:sz w:val="20"/>
                <w:szCs w:val="20"/>
              </w:rPr>
              <w:t>Coordination needs at state-level not specifically addressed during discussion.</w:t>
            </w:r>
          </w:p>
        </w:tc>
      </w:tr>
      <w:tr w:rsidR="00A9322A" w:rsidRPr="008C4BDF" w14:paraId="2C76C72E" w14:textId="77777777" w:rsidTr="00A9322A">
        <w:tc>
          <w:tcPr>
            <w:tcW w:w="3775" w:type="dxa"/>
          </w:tcPr>
          <w:p w14:paraId="6C28B305" w14:textId="77777777" w:rsidR="00A9322A" w:rsidRPr="008C4BDF" w:rsidRDefault="00A9322A" w:rsidP="00A9322A">
            <w:pPr>
              <w:rPr>
                <w:sz w:val="20"/>
                <w:szCs w:val="20"/>
              </w:rPr>
            </w:pPr>
            <w:r w:rsidRPr="008C4BDF">
              <w:rPr>
                <w:sz w:val="20"/>
                <w:szCs w:val="20"/>
              </w:rPr>
              <w:t xml:space="preserve">State or local policies supporting buffer restoration or conservation  </w:t>
            </w:r>
          </w:p>
        </w:tc>
        <w:tc>
          <w:tcPr>
            <w:tcW w:w="4320" w:type="dxa"/>
          </w:tcPr>
          <w:p w14:paraId="7068BD20" w14:textId="60C503F0" w:rsidR="00A9322A" w:rsidRPr="008C4BDF" w:rsidRDefault="0046480C" w:rsidP="00A9322A">
            <w:pPr>
              <w:rPr>
                <w:sz w:val="20"/>
                <w:szCs w:val="20"/>
              </w:rPr>
            </w:pPr>
            <w:r>
              <w:rPr>
                <w:sz w:val="20"/>
                <w:szCs w:val="20"/>
              </w:rPr>
              <w:t>Some county-level buffer ordinances in development (e.g., Sussex, New Castle)</w:t>
            </w:r>
            <w:r w:rsidR="00381EED">
              <w:rPr>
                <w:sz w:val="20"/>
                <w:szCs w:val="20"/>
              </w:rPr>
              <w:t>.</w:t>
            </w:r>
          </w:p>
        </w:tc>
        <w:tc>
          <w:tcPr>
            <w:tcW w:w="5040" w:type="dxa"/>
          </w:tcPr>
          <w:p w14:paraId="7D2C6DA1" w14:textId="77289B4B" w:rsidR="00A37585" w:rsidRPr="008C4BDF" w:rsidRDefault="002F6167" w:rsidP="00A9322A">
            <w:pPr>
              <w:rPr>
                <w:sz w:val="20"/>
                <w:szCs w:val="20"/>
              </w:rPr>
            </w:pPr>
            <w:r>
              <w:rPr>
                <w:sz w:val="20"/>
                <w:szCs w:val="20"/>
              </w:rPr>
              <w:t xml:space="preserve">Need legislation to help </w:t>
            </w:r>
            <w:r w:rsidRPr="002F6167">
              <w:rPr>
                <w:sz w:val="20"/>
                <w:szCs w:val="20"/>
              </w:rPr>
              <w:t>move Delaware closer to the Chesapeake Bay RFB outcome. Although there is a need for political backing and legislation, DNREC ca</w:t>
            </w:r>
            <w:r w:rsidR="000F3568">
              <w:rPr>
                <w:sz w:val="20"/>
                <w:szCs w:val="20"/>
              </w:rPr>
              <w:t xml:space="preserve">nnot </w:t>
            </w:r>
            <w:r w:rsidR="00395907">
              <w:rPr>
                <w:sz w:val="20"/>
                <w:szCs w:val="20"/>
              </w:rPr>
              <w:t>lobby</w:t>
            </w:r>
            <w:r w:rsidR="00395907" w:rsidRPr="002F6167">
              <w:rPr>
                <w:sz w:val="20"/>
                <w:szCs w:val="20"/>
              </w:rPr>
              <w:t xml:space="preserve"> </w:t>
            </w:r>
            <w:r w:rsidRPr="002F6167">
              <w:rPr>
                <w:sz w:val="20"/>
                <w:szCs w:val="20"/>
              </w:rPr>
              <w:t>political leaders.</w:t>
            </w:r>
            <w:r w:rsidR="009918BC">
              <w:rPr>
                <w:sz w:val="20"/>
                <w:szCs w:val="20"/>
              </w:rPr>
              <w:t xml:space="preserve"> </w:t>
            </w:r>
            <w:r w:rsidR="00A37585">
              <w:rPr>
                <w:sz w:val="20"/>
                <w:szCs w:val="20"/>
              </w:rPr>
              <w:t xml:space="preserve">Counties are the key to increasing RFB acreage; some county </w:t>
            </w:r>
            <w:r w:rsidR="00A06989">
              <w:rPr>
                <w:sz w:val="20"/>
                <w:szCs w:val="20"/>
              </w:rPr>
              <w:t xml:space="preserve">ordinances could </w:t>
            </w:r>
            <w:r w:rsidR="001D7B5C">
              <w:rPr>
                <w:sz w:val="20"/>
                <w:szCs w:val="20"/>
              </w:rPr>
              <w:t xml:space="preserve">be </w:t>
            </w:r>
            <w:r w:rsidR="00554566">
              <w:rPr>
                <w:sz w:val="20"/>
                <w:szCs w:val="20"/>
              </w:rPr>
              <w:t>promoted</w:t>
            </w:r>
            <w:r w:rsidR="001D7B5C">
              <w:rPr>
                <w:sz w:val="20"/>
                <w:szCs w:val="20"/>
              </w:rPr>
              <w:t xml:space="preserve"> statewide.</w:t>
            </w:r>
          </w:p>
        </w:tc>
      </w:tr>
      <w:tr w:rsidR="00A9322A" w:rsidRPr="008C4BDF" w14:paraId="04FBDDE7" w14:textId="77777777" w:rsidTr="00A9322A">
        <w:tc>
          <w:tcPr>
            <w:tcW w:w="3775" w:type="dxa"/>
          </w:tcPr>
          <w:p w14:paraId="63C3F5C4" w14:textId="77777777" w:rsidR="00A9322A" w:rsidRPr="008C4BDF" w:rsidRDefault="00A9322A" w:rsidP="00A9322A">
            <w:pPr>
              <w:rPr>
                <w:sz w:val="20"/>
                <w:szCs w:val="20"/>
              </w:rPr>
            </w:pPr>
            <w:r>
              <w:rPr>
                <w:sz w:val="20"/>
                <w:szCs w:val="20"/>
              </w:rPr>
              <w:t>Local government engagement to incorporate buffers in planning efforts</w:t>
            </w:r>
          </w:p>
        </w:tc>
        <w:tc>
          <w:tcPr>
            <w:tcW w:w="4320" w:type="dxa"/>
          </w:tcPr>
          <w:p w14:paraId="6FB85A09" w14:textId="60013220" w:rsidR="00A9322A" w:rsidRPr="008C4BDF" w:rsidRDefault="00602C4C" w:rsidP="00A9322A">
            <w:pPr>
              <w:rPr>
                <w:sz w:val="20"/>
                <w:szCs w:val="20"/>
              </w:rPr>
            </w:pPr>
            <w:r w:rsidRPr="00602C4C">
              <w:rPr>
                <w:sz w:val="20"/>
                <w:szCs w:val="20"/>
              </w:rPr>
              <w:t xml:space="preserve">Some county-level buffer ordinances </w:t>
            </w:r>
            <w:r w:rsidR="00340049">
              <w:rPr>
                <w:sz w:val="20"/>
                <w:szCs w:val="20"/>
              </w:rPr>
              <w:t xml:space="preserve">are </w:t>
            </w:r>
            <w:r w:rsidRPr="00602C4C">
              <w:rPr>
                <w:sz w:val="20"/>
                <w:szCs w:val="20"/>
              </w:rPr>
              <w:t>in development (e.g., Sussex, New Castle)</w:t>
            </w:r>
            <w:r w:rsidR="00340049">
              <w:rPr>
                <w:sz w:val="20"/>
                <w:szCs w:val="20"/>
              </w:rPr>
              <w:t xml:space="preserve">. </w:t>
            </w:r>
          </w:p>
        </w:tc>
        <w:tc>
          <w:tcPr>
            <w:tcW w:w="5040" w:type="dxa"/>
          </w:tcPr>
          <w:p w14:paraId="0E62F273" w14:textId="69419CF8" w:rsidR="00A9322A" w:rsidRPr="008C4BDF" w:rsidRDefault="00C85892" w:rsidP="00A9322A">
            <w:pPr>
              <w:rPr>
                <w:sz w:val="20"/>
                <w:szCs w:val="20"/>
              </w:rPr>
            </w:pPr>
            <w:r w:rsidRPr="00C85892">
              <w:rPr>
                <w:sz w:val="20"/>
                <w:szCs w:val="20"/>
              </w:rPr>
              <w:t xml:space="preserve">No additional needs or challenges related to </w:t>
            </w:r>
            <w:r w:rsidR="00802593">
              <w:rPr>
                <w:sz w:val="20"/>
                <w:szCs w:val="20"/>
              </w:rPr>
              <w:t xml:space="preserve">local government engagement </w:t>
            </w:r>
            <w:r w:rsidR="00340049">
              <w:rPr>
                <w:sz w:val="20"/>
                <w:szCs w:val="20"/>
              </w:rPr>
              <w:t xml:space="preserve">to incorporate buffer </w:t>
            </w:r>
            <w:r w:rsidR="002B5F83">
              <w:rPr>
                <w:sz w:val="20"/>
                <w:szCs w:val="20"/>
              </w:rPr>
              <w:t xml:space="preserve">in planning efforts </w:t>
            </w:r>
            <w:r w:rsidRPr="00C85892">
              <w:rPr>
                <w:sz w:val="20"/>
                <w:szCs w:val="20"/>
              </w:rPr>
              <w:t>specifically addressed during discussion.</w:t>
            </w:r>
          </w:p>
        </w:tc>
      </w:tr>
      <w:tr w:rsidR="00A9322A" w:rsidRPr="008C4BDF" w14:paraId="01EDFCA5" w14:textId="77777777" w:rsidTr="00A9322A">
        <w:tc>
          <w:tcPr>
            <w:tcW w:w="3775" w:type="dxa"/>
          </w:tcPr>
          <w:p w14:paraId="4D7C9C44" w14:textId="77777777" w:rsidR="00A9322A" w:rsidRPr="008C4BDF" w:rsidRDefault="00A9322A" w:rsidP="00A9322A">
            <w:pPr>
              <w:rPr>
                <w:sz w:val="20"/>
                <w:szCs w:val="20"/>
              </w:rPr>
            </w:pPr>
            <w:r w:rsidRPr="008C4BDF">
              <w:rPr>
                <w:sz w:val="20"/>
                <w:szCs w:val="20"/>
              </w:rPr>
              <w:t xml:space="preserve">Information on where to prioritize buffer plantings based on areas with the highest potential impact, the greatest opportunity, or other criteria  </w:t>
            </w:r>
          </w:p>
        </w:tc>
        <w:tc>
          <w:tcPr>
            <w:tcW w:w="4320" w:type="dxa"/>
          </w:tcPr>
          <w:p w14:paraId="4083C321" w14:textId="749B7BB0" w:rsidR="00A9322A" w:rsidRPr="008C4BDF" w:rsidRDefault="00F34438" w:rsidP="00A9322A">
            <w:pPr>
              <w:rPr>
                <w:sz w:val="20"/>
                <w:szCs w:val="20"/>
              </w:rPr>
            </w:pPr>
            <w:r>
              <w:rPr>
                <w:sz w:val="20"/>
                <w:szCs w:val="20"/>
              </w:rPr>
              <w:t xml:space="preserve">LiDAR available to examine </w:t>
            </w:r>
            <w:r w:rsidRPr="00F34438">
              <w:rPr>
                <w:sz w:val="20"/>
                <w:szCs w:val="20"/>
              </w:rPr>
              <w:t>where Delaware is with buffer progress in urban, suburban, and rural areas</w:t>
            </w:r>
            <w:r>
              <w:rPr>
                <w:sz w:val="20"/>
                <w:szCs w:val="20"/>
              </w:rPr>
              <w:t xml:space="preserve">. </w:t>
            </w:r>
            <w:r w:rsidR="00345D79">
              <w:rPr>
                <w:sz w:val="20"/>
                <w:szCs w:val="20"/>
              </w:rPr>
              <w:t xml:space="preserve">No discussion of how </w:t>
            </w:r>
            <w:r w:rsidR="001C66D7">
              <w:rPr>
                <w:sz w:val="20"/>
                <w:szCs w:val="20"/>
              </w:rPr>
              <w:t xml:space="preserve">this information is </w:t>
            </w:r>
            <w:r w:rsidR="009072E9">
              <w:rPr>
                <w:sz w:val="20"/>
                <w:szCs w:val="20"/>
              </w:rPr>
              <w:t xml:space="preserve">currently </w:t>
            </w:r>
            <w:r w:rsidR="001C66D7">
              <w:rPr>
                <w:sz w:val="20"/>
                <w:szCs w:val="20"/>
              </w:rPr>
              <w:t xml:space="preserve">helping to prioritize RFB efforts. </w:t>
            </w:r>
          </w:p>
        </w:tc>
        <w:tc>
          <w:tcPr>
            <w:tcW w:w="5040" w:type="dxa"/>
          </w:tcPr>
          <w:p w14:paraId="19E1AE72" w14:textId="793FDF63" w:rsidR="00A9322A" w:rsidRPr="008C4BDF" w:rsidRDefault="00C85892" w:rsidP="00A9322A">
            <w:pPr>
              <w:rPr>
                <w:sz w:val="20"/>
                <w:szCs w:val="20"/>
              </w:rPr>
            </w:pPr>
            <w:r w:rsidRPr="00C85892">
              <w:rPr>
                <w:sz w:val="20"/>
                <w:szCs w:val="20"/>
              </w:rPr>
              <w:t xml:space="preserve">No additional needs or challenges related to </w:t>
            </w:r>
            <w:r w:rsidR="00EC3BC1">
              <w:rPr>
                <w:sz w:val="20"/>
                <w:szCs w:val="20"/>
              </w:rPr>
              <w:t xml:space="preserve">RFB prioritization </w:t>
            </w:r>
            <w:r w:rsidRPr="00C85892">
              <w:rPr>
                <w:sz w:val="20"/>
                <w:szCs w:val="20"/>
              </w:rPr>
              <w:t>specifically addressed during discussion.</w:t>
            </w:r>
          </w:p>
        </w:tc>
      </w:tr>
      <w:tr w:rsidR="00F86316" w:rsidRPr="008C4BDF" w14:paraId="388688C6" w14:textId="77777777" w:rsidTr="00A9322A">
        <w:tc>
          <w:tcPr>
            <w:tcW w:w="3775" w:type="dxa"/>
          </w:tcPr>
          <w:p w14:paraId="333FAE28" w14:textId="5DAB46FC" w:rsidR="00F86316" w:rsidRPr="008C4BDF" w:rsidRDefault="00F86316" w:rsidP="00A9322A">
            <w:pPr>
              <w:rPr>
                <w:sz w:val="20"/>
                <w:szCs w:val="20"/>
              </w:rPr>
            </w:pPr>
            <w:r w:rsidRPr="00F86316">
              <w:rPr>
                <w:sz w:val="20"/>
                <w:szCs w:val="20"/>
              </w:rPr>
              <w:t>Adequate supply of trees and planting tubes</w:t>
            </w:r>
          </w:p>
        </w:tc>
        <w:tc>
          <w:tcPr>
            <w:tcW w:w="4320" w:type="dxa"/>
          </w:tcPr>
          <w:p w14:paraId="2D0908AD" w14:textId="229654E4" w:rsidR="00F86316" w:rsidRPr="008C4BDF" w:rsidRDefault="00560631" w:rsidP="00A9322A">
            <w:pPr>
              <w:rPr>
                <w:sz w:val="20"/>
                <w:szCs w:val="20"/>
              </w:rPr>
            </w:pPr>
            <w:r w:rsidRPr="00560631">
              <w:rPr>
                <w:sz w:val="20"/>
                <w:szCs w:val="20"/>
              </w:rPr>
              <w:t>Delaware</w:t>
            </w:r>
            <w:r>
              <w:rPr>
                <w:sz w:val="20"/>
                <w:szCs w:val="20"/>
              </w:rPr>
              <w:t xml:space="preserve"> purchases </w:t>
            </w:r>
            <w:r w:rsidRPr="00560631">
              <w:rPr>
                <w:sz w:val="20"/>
                <w:szCs w:val="20"/>
              </w:rPr>
              <w:t>tree</w:t>
            </w:r>
            <w:r>
              <w:rPr>
                <w:sz w:val="20"/>
                <w:szCs w:val="20"/>
              </w:rPr>
              <w:t xml:space="preserve">s from </w:t>
            </w:r>
            <w:r w:rsidR="00BA7C6B">
              <w:rPr>
                <w:sz w:val="20"/>
                <w:szCs w:val="20"/>
              </w:rPr>
              <w:t xml:space="preserve">multiple nurseries; however, large scale plantings (bareroot seedlings) are purchased from John S. Ayton State Tree Nursery in MD.  </w:t>
            </w:r>
            <w:r w:rsidR="007807E2">
              <w:rPr>
                <w:sz w:val="20"/>
                <w:szCs w:val="20"/>
              </w:rPr>
              <w:t>Adequate supply has</w:t>
            </w:r>
            <w:r w:rsidR="00395907">
              <w:rPr>
                <w:sz w:val="20"/>
                <w:szCs w:val="20"/>
              </w:rPr>
              <w:t xml:space="preserve"> </w:t>
            </w:r>
            <w:r w:rsidR="007807E2">
              <w:rPr>
                <w:sz w:val="20"/>
                <w:szCs w:val="20"/>
              </w:rPr>
              <w:t>n</w:t>
            </w:r>
            <w:r w:rsidR="00395907">
              <w:rPr>
                <w:sz w:val="20"/>
                <w:szCs w:val="20"/>
              </w:rPr>
              <w:t>o</w:t>
            </w:r>
            <w:r w:rsidR="007807E2">
              <w:rPr>
                <w:sz w:val="20"/>
                <w:szCs w:val="20"/>
              </w:rPr>
              <w:t xml:space="preserve">t been an issue until this year. </w:t>
            </w:r>
          </w:p>
        </w:tc>
        <w:tc>
          <w:tcPr>
            <w:tcW w:w="5040" w:type="dxa"/>
          </w:tcPr>
          <w:p w14:paraId="4E9EAE03" w14:textId="3B85BFB4" w:rsidR="00F86316" w:rsidRPr="008C4BDF" w:rsidRDefault="00986F9E" w:rsidP="00A9322A">
            <w:pPr>
              <w:rPr>
                <w:sz w:val="20"/>
                <w:szCs w:val="20"/>
              </w:rPr>
            </w:pPr>
            <w:r>
              <w:rPr>
                <w:sz w:val="20"/>
                <w:szCs w:val="20"/>
              </w:rPr>
              <w:t>Contract</w:t>
            </w:r>
            <w:r w:rsidR="00745460">
              <w:rPr>
                <w:sz w:val="20"/>
                <w:szCs w:val="20"/>
              </w:rPr>
              <w:t xml:space="preserve"> with</w:t>
            </w:r>
            <w:r w:rsidR="00745460" w:rsidRPr="00745460">
              <w:rPr>
                <w:sz w:val="20"/>
                <w:szCs w:val="20"/>
              </w:rPr>
              <w:t xml:space="preserve"> </w:t>
            </w:r>
            <w:r w:rsidR="00BA4448">
              <w:rPr>
                <w:sz w:val="20"/>
                <w:szCs w:val="20"/>
              </w:rPr>
              <w:t xml:space="preserve">Delaware’s </w:t>
            </w:r>
            <w:r w:rsidR="00745460" w:rsidRPr="00745460">
              <w:rPr>
                <w:sz w:val="20"/>
                <w:szCs w:val="20"/>
              </w:rPr>
              <w:t xml:space="preserve">tree supplier in </w:t>
            </w:r>
            <w:r w:rsidR="00BA7C6B">
              <w:rPr>
                <w:sz w:val="20"/>
                <w:szCs w:val="20"/>
              </w:rPr>
              <w:t>Ayton</w:t>
            </w:r>
            <w:r w:rsidR="00745460" w:rsidRPr="00745460">
              <w:rPr>
                <w:sz w:val="20"/>
                <w:szCs w:val="20"/>
              </w:rPr>
              <w:t xml:space="preserve">, MD </w:t>
            </w:r>
            <w:r>
              <w:rPr>
                <w:sz w:val="20"/>
                <w:szCs w:val="20"/>
              </w:rPr>
              <w:t xml:space="preserve">would help ensure that </w:t>
            </w:r>
            <w:r w:rsidR="00461BDC">
              <w:rPr>
                <w:sz w:val="20"/>
                <w:szCs w:val="20"/>
              </w:rPr>
              <w:t xml:space="preserve">the nursery will have adequate supply for </w:t>
            </w:r>
            <w:r>
              <w:rPr>
                <w:sz w:val="20"/>
                <w:szCs w:val="20"/>
              </w:rPr>
              <w:t xml:space="preserve">TEDI and </w:t>
            </w:r>
            <w:r w:rsidR="00461BDC">
              <w:rPr>
                <w:sz w:val="20"/>
                <w:szCs w:val="20"/>
              </w:rPr>
              <w:t xml:space="preserve">other </w:t>
            </w:r>
            <w:r w:rsidR="00560631">
              <w:rPr>
                <w:sz w:val="20"/>
                <w:szCs w:val="20"/>
              </w:rPr>
              <w:t xml:space="preserve">RFB </w:t>
            </w:r>
            <w:r w:rsidR="009C3E51">
              <w:rPr>
                <w:sz w:val="20"/>
                <w:szCs w:val="20"/>
              </w:rPr>
              <w:t xml:space="preserve">projects. </w:t>
            </w:r>
          </w:p>
        </w:tc>
      </w:tr>
    </w:tbl>
    <w:p w14:paraId="67300298" w14:textId="77777777" w:rsidR="00035A05" w:rsidRDefault="00035A05" w:rsidP="0032772B"/>
    <w:sectPr w:rsidR="00035A05" w:rsidSect="00A9322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8E4A" w14:textId="77777777" w:rsidR="000D498C" w:rsidRDefault="000D498C" w:rsidP="00604EAD">
      <w:pPr>
        <w:spacing w:after="0" w:line="240" w:lineRule="auto"/>
      </w:pPr>
      <w:r>
        <w:separator/>
      </w:r>
    </w:p>
  </w:endnote>
  <w:endnote w:type="continuationSeparator" w:id="0">
    <w:p w14:paraId="04EB6CBA" w14:textId="77777777" w:rsidR="000D498C" w:rsidRDefault="000D498C" w:rsidP="0060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156160"/>
      <w:docPartObj>
        <w:docPartGallery w:val="Page Numbers (Bottom of Page)"/>
        <w:docPartUnique/>
      </w:docPartObj>
    </w:sdtPr>
    <w:sdtEndPr>
      <w:rPr>
        <w:noProof/>
      </w:rPr>
    </w:sdtEndPr>
    <w:sdtContent>
      <w:p w14:paraId="49738954" w14:textId="6AA840A6" w:rsidR="00604EAD" w:rsidRDefault="00604E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422DF" w14:textId="77777777" w:rsidR="00604EAD" w:rsidRDefault="0060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BFFC" w14:textId="77777777" w:rsidR="000D498C" w:rsidRDefault="000D498C" w:rsidP="00604EAD">
      <w:pPr>
        <w:spacing w:after="0" w:line="240" w:lineRule="auto"/>
      </w:pPr>
      <w:r>
        <w:separator/>
      </w:r>
    </w:p>
  </w:footnote>
  <w:footnote w:type="continuationSeparator" w:id="0">
    <w:p w14:paraId="05DC6DA5" w14:textId="77777777" w:rsidR="000D498C" w:rsidRDefault="000D498C" w:rsidP="00604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68"/>
    <w:multiLevelType w:val="hybridMultilevel"/>
    <w:tmpl w:val="FD3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CAC"/>
    <w:multiLevelType w:val="hybridMultilevel"/>
    <w:tmpl w:val="490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4495"/>
    <w:multiLevelType w:val="hybridMultilevel"/>
    <w:tmpl w:val="AF78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707"/>
    <w:multiLevelType w:val="hybridMultilevel"/>
    <w:tmpl w:val="26C0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D6900"/>
    <w:multiLevelType w:val="hybridMultilevel"/>
    <w:tmpl w:val="CDC8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A2E52"/>
    <w:multiLevelType w:val="hybridMultilevel"/>
    <w:tmpl w:val="65CC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63603"/>
    <w:multiLevelType w:val="hybridMultilevel"/>
    <w:tmpl w:val="BEA2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710"/>
    <w:multiLevelType w:val="hybridMultilevel"/>
    <w:tmpl w:val="3524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70256"/>
    <w:multiLevelType w:val="hybridMultilevel"/>
    <w:tmpl w:val="A75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04CC7"/>
    <w:multiLevelType w:val="hybridMultilevel"/>
    <w:tmpl w:val="7144D84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B39D2"/>
    <w:multiLevelType w:val="hybridMultilevel"/>
    <w:tmpl w:val="DEB0C4A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5E387A"/>
    <w:multiLevelType w:val="hybridMultilevel"/>
    <w:tmpl w:val="CB0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14D42"/>
    <w:multiLevelType w:val="hybridMultilevel"/>
    <w:tmpl w:val="3EE068D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701AB6"/>
    <w:multiLevelType w:val="hybridMultilevel"/>
    <w:tmpl w:val="FD10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76C46"/>
    <w:multiLevelType w:val="hybridMultilevel"/>
    <w:tmpl w:val="33E8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37777"/>
    <w:multiLevelType w:val="hybridMultilevel"/>
    <w:tmpl w:val="AA66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5900"/>
    <w:multiLevelType w:val="hybridMultilevel"/>
    <w:tmpl w:val="40A0C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A235D"/>
    <w:multiLevelType w:val="hybridMultilevel"/>
    <w:tmpl w:val="BC92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661E9"/>
    <w:multiLevelType w:val="hybridMultilevel"/>
    <w:tmpl w:val="EA80F5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4A2B51"/>
    <w:multiLevelType w:val="hybridMultilevel"/>
    <w:tmpl w:val="110417A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4E558D"/>
    <w:multiLevelType w:val="hybridMultilevel"/>
    <w:tmpl w:val="712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73C53"/>
    <w:multiLevelType w:val="hybridMultilevel"/>
    <w:tmpl w:val="D39EE1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B149DB"/>
    <w:multiLevelType w:val="hybridMultilevel"/>
    <w:tmpl w:val="40429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86B4B"/>
    <w:multiLevelType w:val="hybridMultilevel"/>
    <w:tmpl w:val="B102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501E0"/>
    <w:multiLevelType w:val="hybridMultilevel"/>
    <w:tmpl w:val="49AC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35084"/>
    <w:multiLevelType w:val="hybridMultilevel"/>
    <w:tmpl w:val="2A986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04E7A"/>
    <w:multiLevelType w:val="hybridMultilevel"/>
    <w:tmpl w:val="DFF8B17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854C1E"/>
    <w:multiLevelType w:val="hybridMultilevel"/>
    <w:tmpl w:val="B41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83977"/>
    <w:multiLevelType w:val="hybridMultilevel"/>
    <w:tmpl w:val="8EF4BF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AD6B21"/>
    <w:multiLevelType w:val="hybridMultilevel"/>
    <w:tmpl w:val="4FE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D10B1"/>
    <w:multiLevelType w:val="hybridMultilevel"/>
    <w:tmpl w:val="F79CE89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5"/>
  </w:num>
  <w:num w:numId="5">
    <w:abstractNumId w:val="13"/>
  </w:num>
  <w:num w:numId="6">
    <w:abstractNumId w:val="3"/>
  </w:num>
  <w:num w:numId="7">
    <w:abstractNumId w:val="17"/>
  </w:num>
  <w:num w:numId="8">
    <w:abstractNumId w:val="25"/>
  </w:num>
  <w:num w:numId="9">
    <w:abstractNumId w:val="22"/>
  </w:num>
  <w:num w:numId="10">
    <w:abstractNumId w:val="1"/>
  </w:num>
  <w:num w:numId="11">
    <w:abstractNumId w:val="4"/>
  </w:num>
  <w:num w:numId="12">
    <w:abstractNumId w:val="27"/>
  </w:num>
  <w:num w:numId="13">
    <w:abstractNumId w:val="19"/>
  </w:num>
  <w:num w:numId="14">
    <w:abstractNumId w:val="24"/>
  </w:num>
  <w:num w:numId="15">
    <w:abstractNumId w:val="9"/>
  </w:num>
  <w:num w:numId="16">
    <w:abstractNumId w:val="6"/>
  </w:num>
  <w:num w:numId="17">
    <w:abstractNumId w:val="12"/>
  </w:num>
  <w:num w:numId="18">
    <w:abstractNumId w:val="16"/>
  </w:num>
  <w:num w:numId="19">
    <w:abstractNumId w:val="21"/>
  </w:num>
  <w:num w:numId="20">
    <w:abstractNumId w:val="30"/>
  </w:num>
  <w:num w:numId="21">
    <w:abstractNumId w:val="10"/>
  </w:num>
  <w:num w:numId="22">
    <w:abstractNumId w:val="7"/>
  </w:num>
  <w:num w:numId="23">
    <w:abstractNumId w:val="2"/>
  </w:num>
  <w:num w:numId="24">
    <w:abstractNumId w:val="28"/>
  </w:num>
  <w:num w:numId="25">
    <w:abstractNumId w:val="14"/>
  </w:num>
  <w:num w:numId="26">
    <w:abstractNumId w:val="18"/>
  </w:num>
  <w:num w:numId="27">
    <w:abstractNumId w:val="26"/>
  </w:num>
  <w:num w:numId="28">
    <w:abstractNumId w:val="15"/>
  </w:num>
  <w:num w:numId="29">
    <w:abstractNumId w:val="29"/>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24"/>
    <w:rsid w:val="0000152D"/>
    <w:rsid w:val="00004339"/>
    <w:rsid w:val="00006DD5"/>
    <w:rsid w:val="00006E37"/>
    <w:rsid w:val="00010DC5"/>
    <w:rsid w:val="000200EC"/>
    <w:rsid w:val="00022C0A"/>
    <w:rsid w:val="0002460C"/>
    <w:rsid w:val="00024671"/>
    <w:rsid w:val="00025927"/>
    <w:rsid w:val="00025BF6"/>
    <w:rsid w:val="00035A05"/>
    <w:rsid w:val="000459CD"/>
    <w:rsid w:val="00045E9C"/>
    <w:rsid w:val="00046011"/>
    <w:rsid w:val="00046AEB"/>
    <w:rsid w:val="0004735B"/>
    <w:rsid w:val="00050F91"/>
    <w:rsid w:val="00051914"/>
    <w:rsid w:val="00052245"/>
    <w:rsid w:val="00052E29"/>
    <w:rsid w:val="0005414F"/>
    <w:rsid w:val="00055582"/>
    <w:rsid w:val="00056343"/>
    <w:rsid w:val="00061D93"/>
    <w:rsid w:val="00061F5F"/>
    <w:rsid w:val="00062503"/>
    <w:rsid w:val="00062E1E"/>
    <w:rsid w:val="0006455C"/>
    <w:rsid w:val="0006770A"/>
    <w:rsid w:val="00067772"/>
    <w:rsid w:val="00070620"/>
    <w:rsid w:val="00073A64"/>
    <w:rsid w:val="0007690D"/>
    <w:rsid w:val="00082C71"/>
    <w:rsid w:val="00082E13"/>
    <w:rsid w:val="00084FEB"/>
    <w:rsid w:val="00086066"/>
    <w:rsid w:val="0009298A"/>
    <w:rsid w:val="00093E66"/>
    <w:rsid w:val="000A29AD"/>
    <w:rsid w:val="000A5BE0"/>
    <w:rsid w:val="000B15BB"/>
    <w:rsid w:val="000C0548"/>
    <w:rsid w:val="000C1317"/>
    <w:rsid w:val="000C6799"/>
    <w:rsid w:val="000D498C"/>
    <w:rsid w:val="000D4E3A"/>
    <w:rsid w:val="000D7931"/>
    <w:rsid w:val="000E2D19"/>
    <w:rsid w:val="000E57E3"/>
    <w:rsid w:val="000F0913"/>
    <w:rsid w:val="000F343B"/>
    <w:rsid w:val="000F3568"/>
    <w:rsid w:val="000F44A8"/>
    <w:rsid w:val="000F4CA8"/>
    <w:rsid w:val="000F785E"/>
    <w:rsid w:val="000F7878"/>
    <w:rsid w:val="000F7D52"/>
    <w:rsid w:val="00100D54"/>
    <w:rsid w:val="00103B16"/>
    <w:rsid w:val="001112D9"/>
    <w:rsid w:val="00115354"/>
    <w:rsid w:val="00124B24"/>
    <w:rsid w:val="00131227"/>
    <w:rsid w:val="00133B2D"/>
    <w:rsid w:val="00134009"/>
    <w:rsid w:val="00141DC7"/>
    <w:rsid w:val="00143969"/>
    <w:rsid w:val="00144784"/>
    <w:rsid w:val="00145831"/>
    <w:rsid w:val="00156BE7"/>
    <w:rsid w:val="0015797E"/>
    <w:rsid w:val="00162061"/>
    <w:rsid w:val="00162B77"/>
    <w:rsid w:val="00162E4D"/>
    <w:rsid w:val="00165405"/>
    <w:rsid w:val="00167924"/>
    <w:rsid w:val="0016799E"/>
    <w:rsid w:val="00167D4D"/>
    <w:rsid w:val="00171CF1"/>
    <w:rsid w:val="00173A24"/>
    <w:rsid w:val="00175FA6"/>
    <w:rsid w:val="00185F8F"/>
    <w:rsid w:val="00194E99"/>
    <w:rsid w:val="0019643A"/>
    <w:rsid w:val="00196EFA"/>
    <w:rsid w:val="001A2FF5"/>
    <w:rsid w:val="001A5088"/>
    <w:rsid w:val="001B0341"/>
    <w:rsid w:val="001B3227"/>
    <w:rsid w:val="001C4677"/>
    <w:rsid w:val="001C4FE8"/>
    <w:rsid w:val="001C66AA"/>
    <w:rsid w:val="001C66D7"/>
    <w:rsid w:val="001C6EF1"/>
    <w:rsid w:val="001D1BAB"/>
    <w:rsid w:val="001D24B7"/>
    <w:rsid w:val="001D7A39"/>
    <w:rsid w:val="001D7B5C"/>
    <w:rsid w:val="001E4AFC"/>
    <w:rsid w:val="001F66DB"/>
    <w:rsid w:val="00203D2F"/>
    <w:rsid w:val="00204B4D"/>
    <w:rsid w:val="00213388"/>
    <w:rsid w:val="002171AF"/>
    <w:rsid w:val="0022096F"/>
    <w:rsid w:val="00221A43"/>
    <w:rsid w:val="00223804"/>
    <w:rsid w:val="00230018"/>
    <w:rsid w:val="00232D02"/>
    <w:rsid w:val="00236D4B"/>
    <w:rsid w:val="00240B6C"/>
    <w:rsid w:val="0024432C"/>
    <w:rsid w:val="0024472D"/>
    <w:rsid w:val="0024633A"/>
    <w:rsid w:val="002634DD"/>
    <w:rsid w:val="00266FA7"/>
    <w:rsid w:val="0027287D"/>
    <w:rsid w:val="00276C4E"/>
    <w:rsid w:val="002815C0"/>
    <w:rsid w:val="00282728"/>
    <w:rsid w:val="002870F1"/>
    <w:rsid w:val="002A6EC4"/>
    <w:rsid w:val="002B2435"/>
    <w:rsid w:val="002B2997"/>
    <w:rsid w:val="002B3071"/>
    <w:rsid w:val="002B4B96"/>
    <w:rsid w:val="002B5F83"/>
    <w:rsid w:val="002B6BD0"/>
    <w:rsid w:val="002B6CD1"/>
    <w:rsid w:val="002C1A7C"/>
    <w:rsid w:val="002C4DB5"/>
    <w:rsid w:val="002D0F87"/>
    <w:rsid w:val="002D3FAC"/>
    <w:rsid w:val="002D663E"/>
    <w:rsid w:val="002D7338"/>
    <w:rsid w:val="002E2E85"/>
    <w:rsid w:val="002E3332"/>
    <w:rsid w:val="002E4C2B"/>
    <w:rsid w:val="002E5A69"/>
    <w:rsid w:val="002E6E5F"/>
    <w:rsid w:val="002F2401"/>
    <w:rsid w:val="002F364A"/>
    <w:rsid w:val="002F6167"/>
    <w:rsid w:val="003001AE"/>
    <w:rsid w:val="00300F1B"/>
    <w:rsid w:val="00301BEF"/>
    <w:rsid w:val="00302868"/>
    <w:rsid w:val="00310C23"/>
    <w:rsid w:val="0032082A"/>
    <w:rsid w:val="00324A92"/>
    <w:rsid w:val="0032772B"/>
    <w:rsid w:val="003305D5"/>
    <w:rsid w:val="0033273C"/>
    <w:rsid w:val="00340049"/>
    <w:rsid w:val="003446C2"/>
    <w:rsid w:val="003458D2"/>
    <w:rsid w:val="00345D79"/>
    <w:rsid w:val="00377C6B"/>
    <w:rsid w:val="00380B7E"/>
    <w:rsid w:val="00381EED"/>
    <w:rsid w:val="00383964"/>
    <w:rsid w:val="00384C46"/>
    <w:rsid w:val="00387F31"/>
    <w:rsid w:val="00390186"/>
    <w:rsid w:val="00390689"/>
    <w:rsid w:val="00394568"/>
    <w:rsid w:val="00395907"/>
    <w:rsid w:val="00396F95"/>
    <w:rsid w:val="00397928"/>
    <w:rsid w:val="003A2DD7"/>
    <w:rsid w:val="003A6737"/>
    <w:rsid w:val="003B2155"/>
    <w:rsid w:val="003B41B5"/>
    <w:rsid w:val="003C0106"/>
    <w:rsid w:val="003C7049"/>
    <w:rsid w:val="003D08E3"/>
    <w:rsid w:val="003D16C1"/>
    <w:rsid w:val="003D3591"/>
    <w:rsid w:val="003D39F5"/>
    <w:rsid w:val="003D4573"/>
    <w:rsid w:val="003D4669"/>
    <w:rsid w:val="003D7DAD"/>
    <w:rsid w:val="003E1CA0"/>
    <w:rsid w:val="003E7AAD"/>
    <w:rsid w:val="003F00CF"/>
    <w:rsid w:val="003F3E2D"/>
    <w:rsid w:val="003F4413"/>
    <w:rsid w:val="003F70E3"/>
    <w:rsid w:val="00405333"/>
    <w:rsid w:val="00413A33"/>
    <w:rsid w:val="004144FA"/>
    <w:rsid w:val="00421825"/>
    <w:rsid w:val="0042537B"/>
    <w:rsid w:val="00434611"/>
    <w:rsid w:val="0043688F"/>
    <w:rsid w:val="0043701C"/>
    <w:rsid w:val="0044253C"/>
    <w:rsid w:val="004456ED"/>
    <w:rsid w:val="00446668"/>
    <w:rsid w:val="00451589"/>
    <w:rsid w:val="00457770"/>
    <w:rsid w:val="00460220"/>
    <w:rsid w:val="00461BDC"/>
    <w:rsid w:val="00463322"/>
    <w:rsid w:val="0046480C"/>
    <w:rsid w:val="00466755"/>
    <w:rsid w:val="0046775F"/>
    <w:rsid w:val="00485DA9"/>
    <w:rsid w:val="004920C2"/>
    <w:rsid w:val="004A2422"/>
    <w:rsid w:val="004B10D3"/>
    <w:rsid w:val="004B67A9"/>
    <w:rsid w:val="004B6DF2"/>
    <w:rsid w:val="004B72E2"/>
    <w:rsid w:val="004C0E55"/>
    <w:rsid w:val="004C21E4"/>
    <w:rsid w:val="004D44F5"/>
    <w:rsid w:val="004D58DA"/>
    <w:rsid w:val="004D7B5E"/>
    <w:rsid w:val="004E3CFC"/>
    <w:rsid w:val="004F0C2B"/>
    <w:rsid w:val="004F38CE"/>
    <w:rsid w:val="004F4508"/>
    <w:rsid w:val="004F4F82"/>
    <w:rsid w:val="00501354"/>
    <w:rsid w:val="00503480"/>
    <w:rsid w:val="00510E63"/>
    <w:rsid w:val="0051122A"/>
    <w:rsid w:val="0051176F"/>
    <w:rsid w:val="00513671"/>
    <w:rsid w:val="00517B6A"/>
    <w:rsid w:val="00520C34"/>
    <w:rsid w:val="00521FF6"/>
    <w:rsid w:val="005275A6"/>
    <w:rsid w:val="00531784"/>
    <w:rsid w:val="005357CF"/>
    <w:rsid w:val="00537273"/>
    <w:rsid w:val="00542FCF"/>
    <w:rsid w:val="00546861"/>
    <w:rsid w:val="005507B4"/>
    <w:rsid w:val="005511F3"/>
    <w:rsid w:val="0055194A"/>
    <w:rsid w:val="00552666"/>
    <w:rsid w:val="00553620"/>
    <w:rsid w:val="00553C82"/>
    <w:rsid w:val="005544D9"/>
    <w:rsid w:val="00554566"/>
    <w:rsid w:val="005558CF"/>
    <w:rsid w:val="00556061"/>
    <w:rsid w:val="005569E7"/>
    <w:rsid w:val="0056013A"/>
    <w:rsid w:val="00560631"/>
    <w:rsid w:val="00560BBB"/>
    <w:rsid w:val="00561A45"/>
    <w:rsid w:val="005628AB"/>
    <w:rsid w:val="005657F9"/>
    <w:rsid w:val="005664DE"/>
    <w:rsid w:val="0057024A"/>
    <w:rsid w:val="005775B2"/>
    <w:rsid w:val="005800A8"/>
    <w:rsid w:val="005800FB"/>
    <w:rsid w:val="00581A16"/>
    <w:rsid w:val="00582D94"/>
    <w:rsid w:val="005839D7"/>
    <w:rsid w:val="005866D7"/>
    <w:rsid w:val="0058707A"/>
    <w:rsid w:val="0059766F"/>
    <w:rsid w:val="005A668E"/>
    <w:rsid w:val="005A780A"/>
    <w:rsid w:val="005B0712"/>
    <w:rsid w:val="005B1732"/>
    <w:rsid w:val="005C1449"/>
    <w:rsid w:val="005C196B"/>
    <w:rsid w:val="005C1BD4"/>
    <w:rsid w:val="005C455B"/>
    <w:rsid w:val="005C64A3"/>
    <w:rsid w:val="005D31E0"/>
    <w:rsid w:val="005D660C"/>
    <w:rsid w:val="005E3062"/>
    <w:rsid w:val="005F0C24"/>
    <w:rsid w:val="005F3939"/>
    <w:rsid w:val="005F6A5C"/>
    <w:rsid w:val="00602C4C"/>
    <w:rsid w:val="00604A8E"/>
    <w:rsid w:val="00604EAD"/>
    <w:rsid w:val="00615705"/>
    <w:rsid w:val="00622FDC"/>
    <w:rsid w:val="0062361C"/>
    <w:rsid w:val="00624DB9"/>
    <w:rsid w:val="006256B4"/>
    <w:rsid w:val="00627F35"/>
    <w:rsid w:val="006352C3"/>
    <w:rsid w:val="0063628A"/>
    <w:rsid w:val="00637502"/>
    <w:rsid w:val="0065511E"/>
    <w:rsid w:val="00660CD1"/>
    <w:rsid w:val="00663CE8"/>
    <w:rsid w:val="006721BD"/>
    <w:rsid w:val="0067565C"/>
    <w:rsid w:val="00685868"/>
    <w:rsid w:val="00686D00"/>
    <w:rsid w:val="006909D4"/>
    <w:rsid w:val="006909D8"/>
    <w:rsid w:val="006A2F39"/>
    <w:rsid w:val="006A5DA5"/>
    <w:rsid w:val="006A69E1"/>
    <w:rsid w:val="006C7975"/>
    <w:rsid w:val="006C7EC9"/>
    <w:rsid w:val="006D062A"/>
    <w:rsid w:val="006D07C4"/>
    <w:rsid w:val="006D09C1"/>
    <w:rsid w:val="006D2098"/>
    <w:rsid w:val="006D748B"/>
    <w:rsid w:val="006E119E"/>
    <w:rsid w:val="006E4F56"/>
    <w:rsid w:val="006F24A8"/>
    <w:rsid w:val="006F2F42"/>
    <w:rsid w:val="006F3CCF"/>
    <w:rsid w:val="006F569A"/>
    <w:rsid w:val="006F64FA"/>
    <w:rsid w:val="006F73D5"/>
    <w:rsid w:val="007068D8"/>
    <w:rsid w:val="00711329"/>
    <w:rsid w:val="00711B83"/>
    <w:rsid w:val="00714CBA"/>
    <w:rsid w:val="00715D50"/>
    <w:rsid w:val="00716DF6"/>
    <w:rsid w:val="00720A18"/>
    <w:rsid w:val="00720B87"/>
    <w:rsid w:val="007326EC"/>
    <w:rsid w:val="00732BB1"/>
    <w:rsid w:val="00743D1B"/>
    <w:rsid w:val="007450B5"/>
    <w:rsid w:val="00745460"/>
    <w:rsid w:val="00757880"/>
    <w:rsid w:val="007804F4"/>
    <w:rsid w:val="007807E2"/>
    <w:rsid w:val="007876CE"/>
    <w:rsid w:val="0079555F"/>
    <w:rsid w:val="0079694E"/>
    <w:rsid w:val="007A1361"/>
    <w:rsid w:val="007A4520"/>
    <w:rsid w:val="007A489F"/>
    <w:rsid w:val="007A4DAC"/>
    <w:rsid w:val="007A6358"/>
    <w:rsid w:val="007B6DAE"/>
    <w:rsid w:val="007C0FD8"/>
    <w:rsid w:val="007C299E"/>
    <w:rsid w:val="007C4F97"/>
    <w:rsid w:val="007C5585"/>
    <w:rsid w:val="007C6C4F"/>
    <w:rsid w:val="007C7FA4"/>
    <w:rsid w:val="007D006C"/>
    <w:rsid w:val="007D27D5"/>
    <w:rsid w:val="007D7975"/>
    <w:rsid w:val="007D7DD4"/>
    <w:rsid w:val="007E2C87"/>
    <w:rsid w:val="007E4BC7"/>
    <w:rsid w:val="007F2956"/>
    <w:rsid w:val="008010D6"/>
    <w:rsid w:val="00801549"/>
    <w:rsid w:val="00802593"/>
    <w:rsid w:val="00811A34"/>
    <w:rsid w:val="008120AF"/>
    <w:rsid w:val="008169A8"/>
    <w:rsid w:val="008377E2"/>
    <w:rsid w:val="00840759"/>
    <w:rsid w:val="00841223"/>
    <w:rsid w:val="00844940"/>
    <w:rsid w:val="008465FD"/>
    <w:rsid w:val="00850FD2"/>
    <w:rsid w:val="00854019"/>
    <w:rsid w:val="00854C8D"/>
    <w:rsid w:val="00856674"/>
    <w:rsid w:val="008634BD"/>
    <w:rsid w:val="00865E19"/>
    <w:rsid w:val="0086670A"/>
    <w:rsid w:val="00870AD2"/>
    <w:rsid w:val="0087449B"/>
    <w:rsid w:val="008753EB"/>
    <w:rsid w:val="008879EA"/>
    <w:rsid w:val="00896F6E"/>
    <w:rsid w:val="008A1BF3"/>
    <w:rsid w:val="008A1CD8"/>
    <w:rsid w:val="008A27C5"/>
    <w:rsid w:val="008A3482"/>
    <w:rsid w:val="008A484E"/>
    <w:rsid w:val="008A6886"/>
    <w:rsid w:val="008A6C1A"/>
    <w:rsid w:val="008B3878"/>
    <w:rsid w:val="008B4C61"/>
    <w:rsid w:val="008C2012"/>
    <w:rsid w:val="008D111E"/>
    <w:rsid w:val="008D15C8"/>
    <w:rsid w:val="008D3F0A"/>
    <w:rsid w:val="008D4FD9"/>
    <w:rsid w:val="008D6076"/>
    <w:rsid w:val="008E014E"/>
    <w:rsid w:val="008E16A8"/>
    <w:rsid w:val="008E4429"/>
    <w:rsid w:val="008E71BD"/>
    <w:rsid w:val="008F50D1"/>
    <w:rsid w:val="008F5D21"/>
    <w:rsid w:val="008F69B3"/>
    <w:rsid w:val="008F7963"/>
    <w:rsid w:val="0090106F"/>
    <w:rsid w:val="009047D9"/>
    <w:rsid w:val="00904C11"/>
    <w:rsid w:val="00905A04"/>
    <w:rsid w:val="009072E9"/>
    <w:rsid w:val="00913279"/>
    <w:rsid w:val="0091454C"/>
    <w:rsid w:val="0092006D"/>
    <w:rsid w:val="009249EA"/>
    <w:rsid w:val="00933A28"/>
    <w:rsid w:val="00934714"/>
    <w:rsid w:val="0093565B"/>
    <w:rsid w:val="009371D8"/>
    <w:rsid w:val="00942916"/>
    <w:rsid w:val="00944EB5"/>
    <w:rsid w:val="009470B0"/>
    <w:rsid w:val="009513A7"/>
    <w:rsid w:val="00953873"/>
    <w:rsid w:val="00953976"/>
    <w:rsid w:val="00953E5B"/>
    <w:rsid w:val="00956665"/>
    <w:rsid w:val="00956A06"/>
    <w:rsid w:val="009624E7"/>
    <w:rsid w:val="00970D2E"/>
    <w:rsid w:val="009737E6"/>
    <w:rsid w:val="0097670E"/>
    <w:rsid w:val="00977BF2"/>
    <w:rsid w:val="00986AB8"/>
    <w:rsid w:val="00986F9E"/>
    <w:rsid w:val="009918BC"/>
    <w:rsid w:val="009A7023"/>
    <w:rsid w:val="009B14D5"/>
    <w:rsid w:val="009B19DC"/>
    <w:rsid w:val="009B1AD6"/>
    <w:rsid w:val="009B3A8C"/>
    <w:rsid w:val="009B50B0"/>
    <w:rsid w:val="009B6456"/>
    <w:rsid w:val="009B78DF"/>
    <w:rsid w:val="009C1DEF"/>
    <w:rsid w:val="009C21D5"/>
    <w:rsid w:val="009C3E51"/>
    <w:rsid w:val="009C44BD"/>
    <w:rsid w:val="009C60CF"/>
    <w:rsid w:val="009D0E23"/>
    <w:rsid w:val="009D6070"/>
    <w:rsid w:val="009D71FC"/>
    <w:rsid w:val="009E03EC"/>
    <w:rsid w:val="009E20E0"/>
    <w:rsid w:val="009E47F0"/>
    <w:rsid w:val="009F7B7D"/>
    <w:rsid w:val="00A02AC1"/>
    <w:rsid w:val="00A02F18"/>
    <w:rsid w:val="00A0515F"/>
    <w:rsid w:val="00A06989"/>
    <w:rsid w:val="00A06BB9"/>
    <w:rsid w:val="00A06C61"/>
    <w:rsid w:val="00A07437"/>
    <w:rsid w:val="00A13C89"/>
    <w:rsid w:val="00A14D8F"/>
    <w:rsid w:val="00A159E4"/>
    <w:rsid w:val="00A17386"/>
    <w:rsid w:val="00A17E02"/>
    <w:rsid w:val="00A21067"/>
    <w:rsid w:val="00A22FCE"/>
    <w:rsid w:val="00A23B12"/>
    <w:rsid w:val="00A243EC"/>
    <w:rsid w:val="00A24443"/>
    <w:rsid w:val="00A24A0C"/>
    <w:rsid w:val="00A25C78"/>
    <w:rsid w:val="00A32406"/>
    <w:rsid w:val="00A3266B"/>
    <w:rsid w:val="00A32997"/>
    <w:rsid w:val="00A33FA9"/>
    <w:rsid w:val="00A340CF"/>
    <w:rsid w:val="00A35185"/>
    <w:rsid w:val="00A37585"/>
    <w:rsid w:val="00A41E97"/>
    <w:rsid w:val="00A42F77"/>
    <w:rsid w:val="00A43B7A"/>
    <w:rsid w:val="00A47408"/>
    <w:rsid w:val="00A509C1"/>
    <w:rsid w:val="00A52514"/>
    <w:rsid w:val="00A52F02"/>
    <w:rsid w:val="00A6376C"/>
    <w:rsid w:val="00A65920"/>
    <w:rsid w:val="00A66D6E"/>
    <w:rsid w:val="00A82C03"/>
    <w:rsid w:val="00A83282"/>
    <w:rsid w:val="00A83664"/>
    <w:rsid w:val="00A91399"/>
    <w:rsid w:val="00A9322A"/>
    <w:rsid w:val="00A95145"/>
    <w:rsid w:val="00A96866"/>
    <w:rsid w:val="00AA2755"/>
    <w:rsid w:val="00AA385C"/>
    <w:rsid w:val="00AB0380"/>
    <w:rsid w:val="00AB0D8A"/>
    <w:rsid w:val="00AB0ECE"/>
    <w:rsid w:val="00AB3462"/>
    <w:rsid w:val="00AB77BC"/>
    <w:rsid w:val="00AC39CC"/>
    <w:rsid w:val="00AC72E8"/>
    <w:rsid w:val="00AD2829"/>
    <w:rsid w:val="00AD3E03"/>
    <w:rsid w:val="00AD5587"/>
    <w:rsid w:val="00AD693F"/>
    <w:rsid w:val="00AD6B19"/>
    <w:rsid w:val="00AD6DBA"/>
    <w:rsid w:val="00AD708C"/>
    <w:rsid w:val="00AE190D"/>
    <w:rsid w:val="00AF00D7"/>
    <w:rsid w:val="00B069C8"/>
    <w:rsid w:val="00B10002"/>
    <w:rsid w:val="00B148BE"/>
    <w:rsid w:val="00B2582A"/>
    <w:rsid w:val="00B331B2"/>
    <w:rsid w:val="00B34B88"/>
    <w:rsid w:val="00B3747F"/>
    <w:rsid w:val="00B37DB0"/>
    <w:rsid w:val="00B444FA"/>
    <w:rsid w:val="00B47464"/>
    <w:rsid w:val="00B51E38"/>
    <w:rsid w:val="00B5522F"/>
    <w:rsid w:val="00B62BC5"/>
    <w:rsid w:val="00B6506E"/>
    <w:rsid w:val="00B666DA"/>
    <w:rsid w:val="00B71A9D"/>
    <w:rsid w:val="00B74ECA"/>
    <w:rsid w:val="00B87100"/>
    <w:rsid w:val="00B91009"/>
    <w:rsid w:val="00B934C1"/>
    <w:rsid w:val="00B956DE"/>
    <w:rsid w:val="00B96DEF"/>
    <w:rsid w:val="00BA39B1"/>
    <w:rsid w:val="00BA42FB"/>
    <w:rsid w:val="00BA4448"/>
    <w:rsid w:val="00BA5AAA"/>
    <w:rsid w:val="00BA7C6B"/>
    <w:rsid w:val="00BB15C5"/>
    <w:rsid w:val="00BC00E7"/>
    <w:rsid w:val="00BC6A59"/>
    <w:rsid w:val="00BD2C1B"/>
    <w:rsid w:val="00BD7D1E"/>
    <w:rsid w:val="00BD7D8B"/>
    <w:rsid w:val="00BE585D"/>
    <w:rsid w:val="00BF46B6"/>
    <w:rsid w:val="00C01C95"/>
    <w:rsid w:val="00C06D7E"/>
    <w:rsid w:val="00C10377"/>
    <w:rsid w:val="00C10C9A"/>
    <w:rsid w:val="00C149E4"/>
    <w:rsid w:val="00C15AA6"/>
    <w:rsid w:val="00C2216D"/>
    <w:rsid w:val="00C24AB7"/>
    <w:rsid w:val="00C26B7A"/>
    <w:rsid w:val="00C30C5D"/>
    <w:rsid w:val="00C3145E"/>
    <w:rsid w:val="00C33D75"/>
    <w:rsid w:val="00C4001A"/>
    <w:rsid w:val="00C43546"/>
    <w:rsid w:val="00C46690"/>
    <w:rsid w:val="00C4682F"/>
    <w:rsid w:val="00C51661"/>
    <w:rsid w:val="00C55C29"/>
    <w:rsid w:val="00C56988"/>
    <w:rsid w:val="00C60B64"/>
    <w:rsid w:val="00C62AC5"/>
    <w:rsid w:val="00C62EF4"/>
    <w:rsid w:val="00C62F41"/>
    <w:rsid w:val="00C66655"/>
    <w:rsid w:val="00C7530A"/>
    <w:rsid w:val="00C75FCB"/>
    <w:rsid w:val="00C85892"/>
    <w:rsid w:val="00C9048B"/>
    <w:rsid w:val="00C93F90"/>
    <w:rsid w:val="00C945F3"/>
    <w:rsid w:val="00C97710"/>
    <w:rsid w:val="00CA04B9"/>
    <w:rsid w:val="00CB2184"/>
    <w:rsid w:val="00CB25AA"/>
    <w:rsid w:val="00CB769F"/>
    <w:rsid w:val="00CB7B31"/>
    <w:rsid w:val="00CC191A"/>
    <w:rsid w:val="00CC4335"/>
    <w:rsid w:val="00CD0EB5"/>
    <w:rsid w:val="00CD2C6B"/>
    <w:rsid w:val="00CD4662"/>
    <w:rsid w:val="00CE216A"/>
    <w:rsid w:val="00CE3001"/>
    <w:rsid w:val="00CE3735"/>
    <w:rsid w:val="00CF064B"/>
    <w:rsid w:val="00CF34D0"/>
    <w:rsid w:val="00CF4561"/>
    <w:rsid w:val="00D0334E"/>
    <w:rsid w:val="00D071B1"/>
    <w:rsid w:val="00D1057B"/>
    <w:rsid w:val="00D1632B"/>
    <w:rsid w:val="00D203DA"/>
    <w:rsid w:val="00D23B2A"/>
    <w:rsid w:val="00D25CBD"/>
    <w:rsid w:val="00D26C04"/>
    <w:rsid w:val="00D31876"/>
    <w:rsid w:val="00D33292"/>
    <w:rsid w:val="00D33D2A"/>
    <w:rsid w:val="00D376D3"/>
    <w:rsid w:val="00D43118"/>
    <w:rsid w:val="00D45883"/>
    <w:rsid w:val="00D54F5E"/>
    <w:rsid w:val="00D60A92"/>
    <w:rsid w:val="00D778D5"/>
    <w:rsid w:val="00D802E4"/>
    <w:rsid w:val="00D80EF7"/>
    <w:rsid w:val="00D83BA2"/>
    <w:rsid w:val="00D85912"/>
    <w:rsid w:val="00D91E2C"/>
    <w:rsid w:val="00D921F8"/>
    <w:rsid w:val="00DA33AE"/>
    <w:rsid w:val="00DA705E"/>
    <w:rsid w:val="00DB0218"/>
    <w:rsid w:val="00DB0CB3"/>
    <w:rsid w:val="00DB7631"/>
    <w:rsid w:val="00DC57A2"/>
    <w:rsid w:val="00DD5E30"/>
    <w:rsid w:val="00DE29B9"/>
    <w:rsid w:val="00DE4123"/>
    <w:rsid w:val="00DF06A1"/>
    <w:rsid w:val="00DF1D1E"/>
    <w:rsid w:val="00DF20E9"/>
    <w:rsid w:val="00DF4B32"/>
    <w:rsid w:val="00DF5A7D"/>
    <w:rsid w:val="00DF5AC3"/>
    <w:rsid w:val="00E01ECE"/>
    <w:rsid w:val="00E03C2A"/>
    <w:rsid w:val="00E0605B"/>
    <w:rsid w:val="00E17F20"/>
    <w:rsid w:val="00E212A5"/>
    <w:rsid w:val="00E221DD"/>
    <w:rsid w:val="00E24CAF"/>
    <w:rsid w:val="00E26E5E"/>
    <w:rsid w:val="00E33AF6"/>
    <w:rsid w:val="00E47079"/>
    <w:rsid w:val="00E549F6"/>
    <w:rsid w:val="00E62EE3"/>
    <w:rsid w:val="00E66A7E"/>
    <w:rsid w:val="00E828D1"/>
    <w:rsid w:val="00E82BB2"/>
    <w:rsid w:val="00E842AA"/>
    <w:rsid w:val="00E85562"/>
    <w:rsid w:val="00E87D8E"/>
    <w:rsid w:val="00E90740"/>
    <w:rsid w:val="00E91365"/>
    <w:rsid w:val="00E93DDA"/>
    <w:rsid w:val="00EA0E68"/>
    <w:rsid w:val="00EA3414"/>
    <w:rsid w:val="00EA3F15"/>
    <w:rsid w:val="00EA500F"/>
    <w:rsid w:val="00EA5782"/>
    <w:rsid w:val="00EA580B"/>
    <w:rsid w:val="00EA7717"/>
    <w:rsid w:val="00EB0640"/>
    <w:rsid w:val="00EB59B6"/>
    <w:rsid w:val="00EB5A3F"/>
    <w:rsid w:val="00EB6B26"/>
    <w:rsid w:val="00EB6D95"/>
    <w:rsid w:val="00EC0448"/>
    <w:rsid w:val="00EC3BC1"/>
    <w:rsid w:val="00ED1B40"/>
    <w:rsid w:val="00ED3371"/>
    <w:rsid w:val="00ED4B14"/>
    <w:rsid w:val="00ED6654"/>
    <w:rsid w:val="00EE06AD"/>
    <w:rsid w:val="00EE6A20"/>
    <w:rsid w:val="00EE7686"/>
    <w:rsid w:val="00EF1415"/>
    <w:rsid w:val="00F036A1"/>
    <w:rsid w:val="00F069BD"/>
    <w:rsid w:val="00F1390F"/>
    <w:rsid w:val="00F14977"/>
    <w:rsid w:val="00F15FE2"/>
    <w:rsid w:val="00F25E32"/>
    <w:rsid w:val="00F2721D"/>
    <w:rsid w:val="00F3110B"/>
    <w:rsid w:val="00F314BD"/>
    <w:rsid w:val="00F34438"/>
    <w:rsid w:val="00F34631"/>
    <w:rsid w:val="00F35AC5"/>
    <w:rsid w:val="00F36414"/>
    <w:rsid w:val="00F44F78"/>
    <w:rsid w:val="00F450D7"/>
    <w:rsid w:val="00F4514B"/>
    <w:rsid w:val="00F4666D"/>
    <w:rsid w:val="00F4670A"/>
    <w:rsid w:val="00F475E9"/>
    <w:rsid w:val="00F53A9E"/>
    <w:rsid w:val="00F55940"/>
    <w:rsid w:val="00F61B36"/>
    <w:rsid w:val="00F62625"/>
    <w:rsid w:val="00F66140"/>
    <w:rsid w:val="00F6651F"/>
    <w:rsid w:val="00F754A9"/>
    <w:rsid w:val="00F77C51"/>
    <w:rsid w:val="00F77C59"/>
    <w:rsid w:val="00F858F6"/>
    <w:rsid w:val="00F86316"/>
    <w:rsid w:val="00F87EC6"/>
    <w:rsid w:val="00F92DDB"/>
    <w:rsid w:val="00F95792"/>
    <w:rsid w:val="00FA4C27"/>
    <w:rsid w:val="00FB7687"/>
    <w:rsid w:val="00FC04E8"/>
    <w:rsid w:val="00FC56AC"/>
    <w:rsid w:val="00FC6DD7"/>
    <w:rsid w:val="00FD0920"/>
    <w:rsid w:val="00FD2BB7"/>
    <w:rsid w:val="00FD4660"/>
    <w:rsid w:val="00FD542F"/>
    <w:rsid w:val="00FD6F8F"/>
    <w:rsid w:val="00FD77B0"/>
    <w:rsid w:val="00FE1AFD"/>
    <w:rsid w:val="00FE3142"/>
    <w:rsid w:val="00FE46CF"/>
    <w:rsid w:val="00FF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BCF5"/>
  <w15:chartTrackingRefBased/>
  <w15:docId w15:val="{86A410CD-3CA2-4F2B-8B98-5759A9B2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57CF"/>
    <w:rPr>
      <w:sz w:val="16"/>
      <w:szCs w:val="16"/>
    </w:rPr>
  </w:style>
  <w:style w:type="paragraph" w:styleId="CommentText">
    <w:name w:val="annotation text"/>
    <w:basedOn w:val="Normal"/>
    <w:link w:val="CommentTextChar"/>
    <w:uiPriority w:val="99"/>
    <w:unhideWhenUsed/>
    <w:rsid w:val="005357CF"/>
    <w:pPr>
      <w:spacing w:line="240" w:lineRule="auto"/>
    </w:pPr>
    <w:rPr>
      <w:sz w:val="20"/>
      <w:szCs w:val="20"/>
    </w:rPr>
  </w:style>
  <w:style w:type="character" w:customStyle="1" w:styleId="CommentTextChar">
    <w:name w:val="Comment Text Char"/>
    <w:basedOn w:val="DefaultParagraphFont"/>
    <w:link w:val="CommentText"/>
    <w:uiPriority w:val="99"/>
    <w:rsid w:val="005357CF"/>
    <w:rPr>
      <w:sz w:val="20"/>
      <w:szCs w:val="20"/>
    </w:rPr>
  </w:style>
  <w:style w:type="paragraph" w:styleId="CommentSubject">
    <w:name w:val="annotation subject"/>
    <w:basedOn w:val="CommentText"/>
    <w:next w:val="CommentText"/>
    <w:link w:val="CommentSubjectChar"/>
    <w:uiPriority w:val="99"/>
    <w:semiHidden/>
    <w:unhideWhenUsed/>
    <w:rsid w:val="005357CF"/>
    <w:rPr>
      <w:b/>
      <w:bCs/>
    </w:rPr>
  </w:style>
  <w:style w:type="character" w:customStyle="1" w:styleId="CommentSubjectChar">
    <w:name w:val="Comment Subject Char"/>
    <w:basedOn w:val="CommentTextChar"/>
    <w:link w:val="CommentSubject"/>
    <w:uiPriority w:val="99"/>
    <w:semiHidden/>
    <w:rsid w:val="005357CF"/>
    <w:rPr>
      <w:b/>
      <w:bCs/>
      <w:sz w:val="20"/>
      <w:szCs w:val="20"/>
    </w:rPr>
  </w:style>
  <w:style w:type="paragraph" w:styleId="ListParagraph">
    <w:name w:val="List Paragraph"/>
    <w:basedOn w:val="Normal"/>
    <w:uiPriority w:val="34"/>
    <w:qFormat/>
    <w:rsid w:val="008A6886"/>
    <w:pPr>
      <w:ind w:left="720"/>
      <w:contextualSpacing/>
    </w:pPr>
  </w:style>
  <w:style w:type="paragraph" w:styleId="Header">
    <w:name w:val="header"/>
    <w:basedOn w:val="Normal"/>
    <w:link w:val="HeaderChar"/>
    <w:uiPriority w:val="99"/>
    <w:unhideWhenUsed/>
    <w:rsid w:val="0060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AD"/>
  </w:style>
  <w:style w:type="paragraph" w:styleId="Footer">
    <w:name w:val="footer"/>
    <w:basedOn w:val="Normal"/>
    <w:link w:val="FooterChar"/>
    <w:uiPriority w:val="99"/>
    <w:unhideWhenUsed/>
    <w:rsid w:val="0060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AD"/>
  </w:style>
  <w:style w:type="paragraph" w:styleId="Revision">
    <w:name w:val="Revision"/>
    <w:hidden/>
    <w:uiPriority w:val="99"/>
    <w:semiHidden/>
    <w:rsid w:val="00055582"/>
    <w:pPr>
      <w:spacing w:after="0" w:line="240" w:lineRule="auto"/>
    </w:pPr>
  </w:style>
  <w:style w:type="character" w:styleId="Hyperlink">
    <w:name w:val="Hyperlink"/>
    <w:basedOn w:val="DefaultParagraphFont"/>
    <w:uiPriority w:val="99"/>
    <w:unhideWhenUsed/>
    <w:rsid w:val="002F2401"/>
    <w:rPr>
      <w:color w:val="0563C1" w:themeColor="hyperlink"/>
      <w:u w:val="single"/>
    </w:rPr>
  </w:style>
  <w:style w:type="character" w:styleId="UnresolvedMention">
    <w:name w:val="Unresolved Mention"/>
    <w:basedOn w:val="DefaultParagraphFont"/>
    <w:uiPriority w:val="99"/>
    <w:semiHidden/>
    <w:unhideWhenUsed/>
    <w:rsid w:val="002F2401"/>
    <w:rPr>
      <w:color w:val="605E5C"/>
      <w:shd w:val="clear" w:color="auto" w:fill="E1DFDD"/>
    </w:rPr>
  </w:style>
  <w:style w:type="table" w:styleId="TableGrid">
    <w:name w:val="Table Grid"/>
    <w:basedOn w:val="TableNormal"/>
    <w:uiPriority w:val="39"/>
    <w:rsid w:val="00DE2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ec.alpha.delaware.gov/tedi/"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DuBay</dc:creator>
  <cp:keywords/>
  <dc:description/>
  <cp:lastModifiedBy>Fox, Marcia A. (DNREC)</cp:lastModifiedBy>
  <cp:revision>5</cp:revision>
  <dcterms:created xsi:type="dcterms:W3CDTF">2022-04-20T11:50:00Z</dcterms:created>
  <dcterms:modified xsi:type="dcterms:W3CDTF">2022-04-20T11:59:00Z</dcterms:modified>
</cp:coreProperties>
</file>