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73A1A86D" w:rsidR="0039449C" w:rsidRDefault="00FA6BB5" w:rsidP="006A29AE">
      <w:pPr>
        <w:spacing w:after="0"/>
        <w:rPr>
          <w:b/>
          <w:sz w:val="24"/>
          <w:szCs w:val="24"/>
        </w:rPr>
      </w:pPr>
      <w:r>
        <w:rPr>
          <w:b/>
          <w:sz w:val="24"/>
          <w:szCs w:val="24"/>
        </w:rPr>
        <w:lastRenderedPageBreak/>
        <w:t xml:space="preserve">2017 and 2025 WIP </w:t>
      </w:r>
      <w:r w:rsidR="000068D8">
        <w:rPr>
          <w:b/>
          <w:sz w:val="24"/>
          <w:szCs w:val="24"/>
        </w:rPr>
        <w:t>Outcomes</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448BE448" w:rsidR="00463F09" w:rsidRPr="003124B3"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1E6A98" w:rsidRPr="00001B30">
        <w:rPr>
          <w:sz w:val="24"/>
          <w:szCs w:val="24"/>
        </w:rPr>
        <w:t>(t</w:t>
      </w:r>
      <w:r w:rsidR="002A523B" w:rsidRPr="00547FAB">
        <w:rPr>
          <w:sz w:val="24"/>
          <w:szCs w:val="24"/>
        </w:rPr>
        <w:t>he metric for success of Outcome</w:t>
      </w:r>
      <w:r w:rsidR="001E6A98">
        <w:rPr>
          <w:sz w:val="24"/>
          <w:szCs w:val="24"/>
        </w:rPr>
        <w:t>):</w:t>
      </w:r>
      <w:r w:rsidR="002A523B" w:rsidRPr="00547FAB">
        <w:rPr>
          <w:sz w:val="24"/>
          <w:szCs w:val="24"/>
        </w:rPr>
        <w:t xml:space="preserve"> </w:t>
      </w:r>
    </w:p>
    <w:p w14:paraId="24D03FD9" w14:textId="1CEF796D"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1E6A98">
        <w:rPr>
          <w:sz w:val="24"/>
          <w:szCs w:val="24"/>
        </w:rPr>
        <w:t>(i</w:t>
      </w:r>
      <w:r w:rsidR="002A523B" w:rsidRPr="00547FAB">
        <w:rPr>
          <w:sz w:val="24"/>
          <w:szCs w:val="24"/>
        </w:rPr>
        <w:t>ncrement of metric for success</w:t>
      </w:r>
      <w:r w:rsidR="001E6A98">
        <w:rPr>
          <w:sz w:val="24"/>
          <w:szCs w:val="24"/>
        </w:rPr>
        <w:t>):</w:t>
      </w:r>
    </w:p>
    <w:p w14:paraId="2A1206C4" w14:textId="518709D0" w:rsidR="002B2FA1" w:rsidRDefault="002B2FA1" w:rsidP="006A29AE">
      <w:pPr>
        <w:spacing w:after="0"/>
        <w:rPr>
          <w:b/>
          <w:sz w:val="24"/>
          <w:szCs w:val="24"/>
        </w:rPr>
      </w:pPr>
    </w:p>
    <w:tbl>
      <w:tblPr>
        <w:tblStyle w:val="GridTable4-Accent51"/>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213AE3">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1"/>
        <w:tblW w:w="0" w:type="auto"/>
        <w:tblLayout w:type="fixed"/>
        <w:tblLook w:val="04A0" w:firstRow="1" w:lastRow="0" w:firstColumn="1" w:lastColumn="0" w:noHBand="0" w:noVBand="1"/>
      </w:tblPr>
      <w:tblGrid>
        <w:gridCol w:w="1885"/>
        <w:gridCol w:w="1530"/>
        <w:gridCol w:w="1530"/>
        <w:gridCol w:w="1530"/>
        <w:gridCol w:w="2610"/>
        <w:gridCol w:w="3060"/>
        <w:gridCol w:w="2245"/>
      </w:tblGrid>
      <w:tr w:rsidR="00906B72" w:rsidRPr="00DB3E82" w14:paraId="7ADD5010" w14:textId="77777777" w:rsidTr="005E1CD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85" w:type="dxa"/>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1530"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 xml:space="preserve">Current </w:t>
            </w:r>
            <w:bookmarkStart w:id="0" w:name="_GoBack"/>
            <w:bookmarkEnd w:id="0"/>
            <w:r>
              <w:rPr>
                <w:b w:val="0"/>
                <w:sz w:val="28"/>
                <w:szCs w:val="28"/>
              </w:rPr>
              <w:t>Efforts</w:t>
            </w:r>
          </w:p>
        </w:tc>
        <w:tc>
          <w:tcPr>
            <w:tcW w:w="153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53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261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306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24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BA7E55" w:rsidRPr="00DB3E82" w14:paraId="3F9ECB20" w14:textId="77777777" w:rsidTr="005E1CD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261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306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24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906B72" w:rsidRPr="00DB3E82" w14:paraId="5D1EFAC7"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5616414E" w14:textId="49455999" w:rsidR="00C154A6" w:rsidRPr="00561537" w:rsidRDefault="00FA6BB5" w:rsidP="00561537">
            <w:pPr>
              <w:pStyle w:val="ListParagraph"/>
              <w:numPr>
                <w:ilvl w:val="0"/>
                <w:numId w:val="12"/>
              </w:numPr>
              <w:rPr>
                <w:sz w:val="20"/>
                <w:szCs w:val="20"/>
              </w:rPr>
            </w:pPr>
            <w:r w:rsidRPr="00561537">
              <w:rPr>
                <w:rStyle w:val="Bold"/>
                <w:sz w:val="20"/>
                <w:szCs w:val="20"/>
              </w:rPr>
              <w:t xml:space="preserve">Continuing to </w:t>
            </w:r>
            <w:r w:rsidR="00E05E3C" w:rsidRPr="00561537">
              <w:rPr>
                <w:rStyle w:val="Bold"/>
                <w:sz w:val="20"/>
                <w:szCs w:val="20"/>
              </w:rPr>
              <w:t xml:space="preserve">enhance and </w:t>
            </w:r>
            <w:r w:rsidRPr="00561537">
              <w:rPr>
                <w:rStyle w:val="Bold"/>
                <w:sz w:val="20"/>
                <w:szCs w:val="20"/>
              </w:rPr>
              <w:t xml:space="preserve">sustain the capacity of </w:t>
            </w:r>
            <w:r w:rsidR="00E05E3C" w:rsidRPr="00561537">
              <w:rPr>
                <w:rStyle w:val="Bold"/>
                <w:sz w:val="20"/>
                <w:szCs w:val="20"/>
              </w:rPr>
              <w:t xml:space="preserve">local </w:t>
            </w:r>
            <w:r w:rsidRPr="00561537">
              <w:rPr>
                <w:rStyle w:val="Bold"/>
                <w:sz w:val="20"/>
                <w:szCs w:val="20"/>
              </w:rPr>
              <w:t xml:space="preserve">governments and the private sector to </w:t>
            </w:r>
            <w:r w:rsidRPr="00561537">
              <w:rPr>
                <w:rStyle w:val="Bold"/>
                <w:sz w:val="20"/>
                <w:szCs w:val="20"/>
              </w:rPr>
              <w:lastRenderedPageBreak/>
              <w:t>implement practices</w:t>
            </w:r>
            <w:r w:rsidRPr="00561537">
              <w:rPr>
                <w:sz w:val="20"/>
                <w:szCs w:val="20"/>
              </w:rPr>
              <w:t xml:space="preserve"> </w:t>
            </w:r>
          </w:p>
        </w:tc>
        <w:tc>
          <w:tcPr>
            <w:tcW w:w="1530" w:type="dxa"/>
          </w:tcPr>
          <w:p w14:paraId="286B54A3" w14:textId="7F398E32" w:rsidR="00C154A6" w:rsidRPr="00463345"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Continued funding and technical assistance support for BMP implementation, tracking, </w:t>
            </w:r>
            <w:r>
              <w:rPr>
                <w:sz w:val="20"/>
                <w:szCs w:val="20"/>
              </w:rPr>
              <w:lastRenderedPageBreak/>
              <w:t>verifying, and reporting through voluntary and regulatory (NPDES permits) measures</w:t>
            </w:r>
          </w:p>
        </w:tc>
        <w:tc>
          <w:tcPr>
            <w:tcW w:w="1530" w:type="dxa"/>
          </w:tcPr>
          <w:p w14:paraId="345A0A9E" w14:textId="7AEAAC33" w:rsidR="00C154A6" w:rsidRPr="00FB5AF0"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Connecting water quality practices to other local priorities (co-benefits)</w:t>
            </w:r>
            <w:r w:rsidR="00483806">
              <w:rPr>
                <w:sz w:val="20"/>
                <w:szCs w:val="20"/>
              </w:rPr>
              <w:t xml:space="preserve">; continuous and stable funding </w:t>
            </w:r>
            <w:r w:rsidR="00483806">
              <w:rPr>
                <w:sz w:val="20"/>
                <w:szCs w:val="20"/>
              </w:rPr>
              <w:lastRenderedPageBreak/>
              <w:t xml:space="preserve">stream to support implementation efforts; strengthened coordination between federal, state and local levels </w:t>
            </w:r>
          </w:p>
        </w:tc>
        <w:tc>
          <w:tcPr>
            <w:tcW w:w="1530" w:type="dxa"/>
          </w:tcPr>
          <w:p w14:paraId="03293129" w14:textId="5070FA05" w:rsidR="00C154A6" w:rsidRPr="00DB3E82" w:rsidRDefault="00E05E3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U</w:t>
            </w:r>
            <w:r w:rsidR="00ED01B1">
              <w:rPr>
                <w:sz w:val="20"/>
                <w:szCs w:val="20"/>
              </w:rPr>
              <w:t xml:space="preserve">se the WIPs and two-year milestones to describe this capacity, and </w:t>
            </w:r>
            <w:r w:rsidR="00ED01B1" w:rsidRPr="00D174EB">
              <w:rPr>
                <w:b/>
                <w:sz w:val="20"/>
                <w:szCs w:val="20"/>
              </w:rPr>
              <w:t xml:space="preserve">needed resources to ensure the </w:t>
            </w:r>
            <w:r w:rsidR="00ED01B1" w:rsidRPr="00D174EB">
              <w:rPr>
                <w:b/>
                <w:sz w:val="20"/>
                <w:szCs w:val="20"/>
              </w:rPr>
              <w:lastRenderedPageBreak/>
              <w:t>policy, funding, programmatic, and regulatory infrastructures are in place to sustain BMP implementation over time</w:t>
            </w:r>
            <w:r w:rsidR="00ED01B1">
              <w:rPr>
                <w:sz w:val="20"/>
                <w:szCs w:val="20"/>
              </w:rPr>
              <w:t xml:space="preserve">. </w:t>
            </w:r>
          </w:p>
        </w:tc>
        <w:tc>
          <w:tcPr>
            <w:tcW w:w="2610" w:type="dxa"/>
            <w:shd w:val="clear" w:color="auto" w:fill="D9D9D9" w:themeFill="background1" w:themeFillShade="D9"/>
          </w:tcPr>
          <w:p w14:paraId="71872D9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METRIC EXISTS: Consistent grant administration is one measure of progress:</w:t>
            </w:r>
          </w:p>
          <w:p w14:paraId="69ECCDC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Fed:</w:t>
            </w:r>
          </w:p>
          <w:p w14:paraId="3C9F0F8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CBRAP</w:t>
            </w:r>
          </w:p>
          <w:p w14:paraId="3D248045"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CBIG</w:t>
            </w:r>
          </w:p>
          <w:p w14:paraId="3C59AE0F"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CREP</w:t>
            </w:r>
          </w:p>
          <w:p w14:paraId="57774AD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MACS</w:t>
            </w:r>
          </w:p>
          <w:p w14:paraId="16800330"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State:</w:t>
            </w:r>
          </w:p>
          <w:p w14:paraId="4807086D"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Trust Fund</w:t>
            </w:r>
          </w:p>
          <w:p w14:paraId="50DB1C15"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BRF</w:t>
            </w:r>
          </w:p>
          <w:p w14:paraId="00D12D58"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Open Space</w:t>
            </w:r>
          </w:p>
          <w:p w14:paraId="73C54908"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p>
          <w:p w14:paraId="728F9D5C"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Reports on dollars spent, results achieved in reductions (N,P,TSS)</w:t>
            </w:r>
          </w:p>
          <w:p w14:paraId="3DE7BF45" w14:textId="77777777"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3060" w:type="dxa"/>
            <w:shd w:val="clear" w:color="auto" w:fill="D9D9D9" w:themeFill="background1" w:themeFillShade="D9"/>
          </w:tcPr>
          <w:p w14:paraId="4FF22503" w14:textId="614B5219"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State funding efforts for cover crops is one example: certification each year and expenditure figures attest to program implementation. See example: (</w:t>
            </w:r>
            <w:hyperlink r:id="rId13" w:history="1">
              <w:r w:rsidRPr="00561537">
                <w:rPr>
                  <w:color w:val="0563C1" w:themeColor="hyperlink"/>
                  <w:sz w:val="20"/>
                  <w:szCs w:val="20"/>
                  <w:u w:val="single"/>
                </w:rPr>
                <w:t>http://news.maryland.gov/mda/press-release/2017/04/20/21170/</w:t>
              </w:r>
            </w:hyperlink>
          </w:p>
          <w:p w14:paraId="648FF6E5" w14:textId="069F9B7D"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62728DA8" w14:textId="77777777" w:rsidR="00561537" w:rsidRPr="00561537"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Successful and popular program, reinforces education;</w:t>
            </w:r>
          </w:p>
          <w:p w14:paraId="5FB147E3" w14:textId="77777777" w:rsidR="00561537" w:rsidRPr="00561537"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High level of buy in.  Costly investment by the State.</w:t>
            </w:r>
          </w:p>
          <w:p w14:paraId="69C44963" w14:textId="77777777"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906B72" w:rsidRPr="00DB3E82" w14:paraId="7E577B7D"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62847667" w14:textId="50B2AA20" w:rsidR="00C154A6" w:rsidRPr="00561537" w:rsidRDefault="00FA6BB5" w:rsidP="00561537">
            <w:pPr>
              <w:pStyle w:val="ListParagraph"/>
              <w:numPr>
                <w:ilvl w:val="0"/>
                <w:numId w:val="12"/>
              </w:numPr>
              <w:rPr>
                <w:bCs w:val="0"/>
                <w:sz w:val="20"/>
                <w:szCs w:val="20"/>
              </w:rPr>
            </w:pPr>
            <w:r w:rsidRPr="00561537">
              <w:rPr>
                <w:rStyle w:val="Bold"/>
                <w:sz w:val="20"/>
                <w:szCs w:val="20"/>
              </w:rPr>
              <w:lastRenderedPageBreak/>
              <w:t>Delivering the necessary financial capacity to implement practices and programs</w:t>
            </w:r>
          </w:p>
        </w:tc>
        <w:tc>
          <w:tcPr>
            <w:tcW w:w="1530" w:type="dxa"/>
          </w:tcPr>
          <w:p w14:paraId="37AEC278" w14:textId="2AA2B735" w:rsidR="00C154A6" w:rsidRPr="0039449C" w:rsidRDefault="00FB5AF0" w:rsidP="00303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Development of citizens monitoring programs; CBPO Grant Programs (CBIG, CBRAP); WIP Assistance Funding; </w:t>
            </w:r>
            <w:r w:rsidR="0091201E">
              <w:rPr>
                <w:sz w:val="20"/>
                <w:szCs w:val="20"/>
              </w:rPr>
              <w:t>state programs targeted towards delivering funding and technical assistance to local programs and initiatives; Farm Bill/NRCS funding</w:t>
            </w:r>
            <w:r w:rsidR="00E05E3C">
              <w:rPr>
                <w:sz w:val="20"/>
                <w:szCs w:val="20"/>
              </w:rPr>
              <w:t xml:space="preserve">; exploration of private investment options </w:t>
            </w:r>
          </w:p>
        </w:tc>
        <w:tc>
          <w:tcPr>
            <w:tcW w:w="1530" w:type="dxa"/>
          </w:tcPr>
          <w:p w14:paraId="1B52B23E" w14:textId="37BFC5BB" w:rsidR="00C154A6" w:rsidRPr="00FB5AF0" w:rsidRDefault="00ED01B1" w:rsidP="00560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Ensuring </w:t>
            </w:r>
            <w:r w:rsidR="00FB5AF0">
              <w:rPr>
                <w:sz w:val="20"/>
                <w:szCs w:val="20"/>
              </w:rPr>
              <w:t>funding is targeted towards prio</w:t>
            </w:r>
            <w:r>
              <w:rPr>
                <w:sz w:val="20"/>
                <w:szCs w:val="20"/>
              </w:rPr>
              <w:t>rity practices and watersheds; c</w:t>
            </w:r>
            <w:r w:rsidR="00FB5AF0">
              <w:rPr>
                <w:sz w:val="20"/>
                <w:szCs w:val="20"/>
              </w:rPr>
              <w:t>ontinued federal</w:t>
            </w:r>
            <w:r w:rsidR="00E05E3C">
              <w:rPr>
                <w:sz w:val="20"/>
                <w:szCs w:val="20"/>
              </w:rPr>
              <w:t>, state and local</w:t>
            </w:r>
            <w:r w:rsidR="00FB5AF0">
              <w:rPr>
                <w:sz w:val="20"/>
                <w:szCs w:val="20"/>
              </w:rPr>
              <w:t xml:space="preserve"> funding </w:t>
            </w:r>
            <w:r w:rsidR="00E05E3C">
              <w:rPr>
                <w:sz w:val="20"/>
                <w:szCs w:val="20"/>
              </w:rPr>
              <w:t>coupled with</w:t>
            </w:r>
            <w:r w:rsidR="00FB5AF0">
              <w:rPr>
                <w:sz w:val="20"/>
                <w:szCs w:val="20"/>
              </w:rPr>
              <w:t xml:space="preserve"> the identification and leveraging of other (e.g., private) funding sources</w:t>
            </w:r>
          </w:p>
        </w:tc>
        <w:tc>
          <w:tcPr>
            <w:tcW w:w="1530" w:type="dxa"/>
          </w:tcPr>
          <w:p w14:paraId="7DB2E78F" w14:textId="36198819" w:rsidR="00C154A6" w:rsidRPr="00B56446" w:rsidRDefault="00ED01B1">
            <w:pPr>
              <w:cnfStyle w:val="000000000000" w:firstRow="0" w:lastRow="0" w:firstColumn="0" w:lastColumn="0" w:oddVBand="0" w:evenVBand="0" w:oddHBand="0" w:evenHBand="0" w:firstRowFirstColumn="0" w:firstRowLastColumn="0" w:lastRowFirstColumn="0" w:lastRowLastColumn="0"/>
              <w:rPr>
                <w:sz w:val="20"/>
                <w:szCs w:val="20"/>
              </w:rPr>
            </w:pPr>
            <w:r w:rsidRPr="00D174EB">
              <w:rPr>
                <w:b/>
                <w:sz w:val="20"/>
                <w:szCs w:val="20"/>
              </w:rPr>
              <w:t>Quantification of existing and potential funding gaps</w:t>
            </w:r>
            <w:r w:rsidRPr="00ED01B1">
              <w:rPr>
                <w:sz w:val="20"/>
                <w:szCs w:val="20"/>
              </w:rPr>
              <w:t xml:space="preserve">, and the </w:t>
            </w:r>
            <w:r w:rsidRPr="00D174EB">
              <w:rPr>
                <w:b/>
                <w:sz w:val="20"/>
                <w:szCs w:val="20"/>
              </w:rPr>
              <w:t>identification of new revenue sources and financing</w:t>
            </w:r>
            <w:r w:rsidRPr="00ED01B1">
              <w:rPr>
                <w:sz w:val="20"/>
                <w:szCs w:val="20"/>
              </w:rPr>
              <w:t xml:space="preserve"> to address these gaps; consideration of how costs might be reduced by more </w:t>
            </w:r>
            <w:r w:rsidRPr="00D174EB">
              <w:rPr>
                <w:b/>
                <w:sz w:val="20"/>
                <w:szCs w:val="20"/>
              </w:rPr>
              <w:t>cost-effectively reallocating nutrient and sediment reductions among source sectors</w:t>
            </w:r>
            <w:r w:rsidRPr="00ED01B1">
              <w:rPr>
                <w:sz w:val="20"/>
                <w:szCs w:val="20"/>
              </w:rPr>
              <w:t xml:space="preserve">; evaluation of </w:t>
            </w:r>
            <w:r w:rsidRPr="00ED01B1">
              <w:rPr>
                <w:sz w:val="20"/>
                <w:szCs w:val="20"/>
              </w:rPr>
              <w:lastRenderedPageBreak/>
              <w:t xml:space="preserve">BMP implementation and maintenance costs; and </w:t>
            </w:r>
            <w:r w:rsidRPr="00D174EB">
              <w:rPr>
                <w:b/>
                <w:sz w:val="20"/>
                <w:szCs w:val="20"/>
              </w:rPr>
              <w:t>communication of funding needs to elected officials</w:t>
            </w:r>
          </w:p>
        </w:tc>
        <w:tc>
          <w:tcPr>
            <w:tcW w:w="2610" w:type="dxa"/>
            <w:shd w:val="clear" w:color="auto" w:fill="D9D9D9" w:themeFill="background1" w:themeFillShade="D9"/>
          </w:tcPr>
          <w:p w14:paraId="283C38A7"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lastRenderedPageBreak/>
              <w:t>CURRENT METRIC EXISTS BUT COULD BE REFINED.</w:t>
            </w:r>
          </w:p>
          <w:p w14:paraId="56E9BFC1" w14:textId="29563151" w:rsidR="00C154A6" w:rsidRPr="00561537" w:rsidRDefault="00561537" w:rsidP="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While funding programs are in place, refinement of the assessment of need and best use can be improved. This is an ongoing factor which will be a focal point in the Phase III WIP, as modeling results are finalized and finer grained goals are developed.</w:t>
            </w:r>
          </w:p>
        </w:tc>
        <w:tc>
          <w:tcPr>
            <w:tcW w:w="3060" w:type="dxa"/>
            <w:shd w:val="clear" w:color="auto" w:fill="D9D9D9" w:themeFill="background1" w:themeFillShade="D9"/>
          </w:tcPr>
          <w:p w14:paraId="37B0A66A"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State funding efforts to distribute BRF and Trust Fund dollars currently use priority funding metrics to evaluate projects and implementation. These metrics rank best performance on a pound of reduction per dollar spent. See, e.g., MDE Program webpage: </w:t>
            </w:r>
            <w:hyperlink r:id="rId14" w:history="1">
              <w:r w:rsidRPr="00561537">
                <w:rPr>
                  <w:color w:val="0563C1" w:themeColor="hyperlink"/>
                  <w:sz w:val="20"/>
                  <w:szCs w:val="20"/>
                  <w:u w:val="single"/>
                </w:rPr>
                <w:t>http://mde.maryland.gov/programs/water/WQFA/Pages/index.aspx</w:t>
              </w:r>
            </w:hyperlink>
            <w:r w:rsidRPr="00561537">
              <w:rPr>
                <w:sz w:val="20"/>
                <w:szCs w:val="20"/>
              </w:rPr>
              <w:t xml:space="preserve"> . See also DNR Program webpage: </w:t>
            </w:r>
            <w:hyperlink r:id="rId15" w:history="1">
              <w:r w:rsidRPr="00561537">
                <w:rPr>
                  <w:color w:val="0563C1" w:themeColor="hyperlink"/>
                  <w:sz w:val="20"/>
                  <w:szCs w:val="20"/>
                  <w:u w:val="single"/>
                </w:rPr>
                <w:t>http://dnr.maryland.gov/ccs/Pages/funding/trust-fund.aspx</w:t>
              </w:r>
            </w:hyperlink>
          </w:p>
          <w:p w14:paraId="0EECFDFD"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p w14:paraId="34D87F58"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 See also, areas designated by MDP called PFA’s which direct state dollars to targeted urban areas. See, e.g., </w:t>
            </w:r>
            <w:hyperlink r:id="rId16" w:history="1">
              <w:r w:rsidRPr="00561537">
                <w:rPr>
                  <w:color w:val="0563C1" w:themeColor="hyperlink"/>
                  <w:sz w:val="20"/>
                  <w:szCs w:val="20"/>
                  <w:u w:val="single"/>
                </w:rPr>
                <w:t>http://data.imap.maryland.gov/datasets/maryland-priority-funding-</w:t>
              </w:r>
              <w:r w:rsidRPr="00561537">
                <w:rPr>
                  <w:color w:val="0563C1" w:themeColor="hyperlink"/>
                  <w:sz w:val="20"/>
                  <w:szCs w:val="20"/>
                  <w:u w:val="single"/>
                </w:rPr>
                <w:lastRenderedPageBreak/>
                <w:t>areas?geometry=-80.963%2C38.435%2C-72.036%2C39.925</w:t>
              </w:r>
            </w:hyperlink>
          </w:p>
          <w:p w14:paraId="7845A741" w14:textId="77777777" w:rsidR="00C154A6" w:rsidRPr="00561537"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7DCBE81F" w14:textId="640F45E1" w:rsidR="00C154A6" w:rsidRPr="00561537" w:rsidRDefault="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lastRenderedPageBreak/>
              <w:t>We have learned that targeted frameworks for spending millions of dollars are complex and important economic drivers.  Ongoing evaluation of results and implementation success is always needed. New initiatives to incent private sector participants are being pursued in MD.</w:t>
            </w:r>
          </w:p>
        </w:tc>
      </w:tr>
      <w:tr w:rsidR="00906B72" w:rsidRPr="00DB3E82" w14:paraId="32BBB64C"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3D984808" w14:textId="6A6DEEBF" w:rsidR="00FA6BB5" w:rsidRPr="00561537" w:rsidRDefault="00FA6BB5" w:rsidP="00561537">
            <w:pPr>
              <w:pStyle w:val="ListParagraph"/>
              <w:numPr>
                <w:ilvl w:val="0"/>
                <w:numId w:val="12"/>
              </w:numPr>
              <w:rPr>
                <w:sz w:val="20"/>
                <w:szCs w:val="20"/>
              </w:rPr>
            </w:pPr>
            <w:r w:rsidRPr="00561537">
              <w:rPr>
                <w:rStyle w:val="Bold"/>
                <w:sz w:val="20"/>
                <w:szCs w:val="20"/>
              </w:rPr>
              <w:t>Improving the identification of sources and their contributions to nitrogen, phosphorus and sediment pollutant loads</w:t>
            </w:r>
          </w:p>
        </w:tc>
        <w:tc>
          <w:tcPr>
            <w:tcW w:w="1530" w:type="dxa"/>
          </w:tcPr>
          <w:p w14:paraId="16104010" w14:textId="5C891FE2" w:rsidR="00FA6BB5" w:rsidRDefault="00D55CB4" w:rsidP="003037D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Explaining trends project provided initial findings on relation between nutrient sources and trends in the watershed. Information shared with WQ GIT reps, and the findings being used to inform WIP development; High resolution land cover and land use data produced and used to improve Phase 6 model inputs; </w:t>
            </w:r>
            <w:r>
              <w:rPr>
                <w:sz w:val="20"/>
                <w:szCs w:val="20"/>
              </w:rPr>
              <w:lastRenderedPageBreak/>
              <w:t>Phase 6 model calibration; Maintained monitoring networks and provided trend updates.</w:t>
            </w:r>
          </w:p>
        </w:tc>
        <w:tc>
          <w:tcPr>
            <w:tcW w:w="1530" w:type="dxa"/>
          </w:tcPr>
          <w:p w14:paraId="08766189" w14:textId="0A48FEAF" w:rsidR="00FA6BB5" w:rsidRPr="00D42EAC" w:rsidRDefault="00F828F5" w:rsidP="00560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Continuation of current efforts and future data collection efforts to coincide with two-year milestones and annual progress runs. Better translate the scientific findings into management implications and work with State and local governments to apply findings toward implementing water-quality practices</w:t>
            </w:r>
          </w:p>
        </w:tc>
        <w:tc>
          <w:tcPr>
            <w:tcW w:w="1530" w:type="dxa"/>
          </w:tcPr>
          <w:p w14:paraId="40886F54" w14:textId="515A24F7" w:rsidR="00FA6BB5" w:rsidRPr="00165A52" w:rsidRDefault="00F828F5">
            <w:pPr>
              <w:cnfStyle w:val="000000100000" w:firstRow="0" w:lastRow="0" w:firstColumn="0" w:lastColumn="0" w:oddVBand="0" w:evenVBand="0" w:oddHBand="1" w:evenHBand="0" w:firstRowFirstColumn="0" w:firstRowLastColumn="0" w:lastRowFirstColumn="0" w:lastRowLastColumn="0"/>
              <w:rPr>
                <w:b/>
                <w:sz w:val="20"/>
                <w:szCs w:val="20"/>
              </w:rPr>
            </w:pPr>
            <w:r w:rsidRPr="00165A52">
              <w:rPr>
                <w:b/>
                <w:sz w:val="20"/>
                <w:szCs w:val="20"/>
              </w:rPr>
              <w:t>Continue to incorporate additional/more recent local land use data</w:t>
            </w:r>
            <w:r>
              <w:rPr>
                <w:b/>
                <w:sz w:val="20"/>
                <w:szCs w:val="20"/>
              </w:rPr>
              <w:t>. R</w:t>
            </w:r>
            <w:r w:rsidRPr="00165A52">
              <w:rPr>
                <w:b/>
                <w:sz w:val="20"/>
                <w:szCs w:val="20"/>
              </w:rPr>
              <w:t xml:space="preserve">efine information on the </w:t>
            </w:r>
            <w:r>
              <w:rPr>
                <w:b/>
                <w:sz w:val="20"/>
                <w:szCs w:val="20"/>
              </w:rPr>
              <w:t xml:space="preserve">factors affecting the changes in sources and </w:t>
            </w:r>
            <w:r w:rsidRPr="00165A52">
              <w:rPr>
                <w:b/>
                <w:sz w:val="20"/>
                <w:szCs w:val="20"/>
              </w:rPr>
              <w:t xml:space="preserve">loads through the Bay watershed, and </w:t>
            </w:r>
            <w:r>
              <w:rPr>
                <w:b/>
                <w:sz w:val="20"/>
                <w:szCs w:val="20"/>
              </w:rPr>
              <w:t>their delivery and impacts on the estuary. B</w:t>
            </w:r>
            <w:r w:rsidRPr="00165A52">
              <w:rPr>
                <w:b/>
                <w:sz w:val="20"/>
                <w:szCs w:val="20"/>
              </w:rPr>
              <w:t>etter predict future impacts of population growth and climate change in the Bay watershed</w:t>
            </w:r>
            <w:r>
              <w:rPr>
                <w:b/>
                <w:sz w:val="20"/>
                <w:szCs w:val="20"/>
              </w:rPr>
              <w:t xml:space="preserve"> and </w:t>
            </w:r>
            <w:r>
              <w:rPr>
                <w:b/>
                <w:sz w:val="20"/>
                <w:szCs w:val="20"/>
              </w:rPr>
              <w:lastRenderedPageBreak/>
              <w:t>impacts on water quality.</w:t>
            </w:r>
          </w:p>
        </w:tc>
        <w:tc>
          <w:tcPr>
            <w:tcW w:w="2610" w:type="dxa"/>
            <w:shd w:val="clear" w:color="auto" w:fill="D9D9D9" w:themeFill="background1" w:themeFillShade="D9"/>
          </w:tcPr>
          <w:p w14:paraId="397B646C" w14:textId="77777777" w:rsidR="00561537" w:rsidRPr="00906B72"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lastRenderedPageBreak/>
              <w:t xml:space="preserve">METRIC EXISTS. </w:t>
            </w:r>
          </w:p>
          <w:p w14:paraId="4D23C9F3" w14:textId="66890A42" w:rsidR="00FA6BB5" w:rsidRPr="00906B72"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sidR="00906B72" w:rsidRPr="00906B72">
              <w:rPr>
                <w:sz w:val="20"/>
                <w:szCs w:val="20"/>
              </w:rPr>
              <w:t>were</w:t>
            </w:r>
            <w:r w:rsidRPr="00906B72">
              <w:rPr>
                <w:sz w:val="20"/>
                <w:szCs w:val="20"/>
              </w:rPr>
              <w:t xml:space="preserve"> finalized in </w:t>
            </w:r>
            <w:r w:rsidR="00906B72" w:rsidRPr="00906B72">
              <w:rPr>
                <w:sz w:val="20"/>
                <w:szCs w:val="20"/>
              </w:rPr>
              <w:t>2017</w:t>
            </w:r>
            <w:r w:rsidRPr="00906B72">
              <w:rPr>
                <w:sz w:val="20"/>
                <w:szCs w:val="20"/>
              </w:rPr>
              <w:t xml:space="preserve"> and </w:t>
            </w:r>
            <w:r w:rsidR="00906B72" w:rsidRPr="00906B72">
              <w:rPr>
                <w:sz w:val="20"/>
                <w:szCs w:val="20"/>
              </w:rPr>
              <w:t xml:space="preserve">Phase III </w:t>
            </w:r>
            <w:r w:rsidRPr="00906B72">
              <w:rPr>
                <w:sz w:val="20"/>
                <w:szCs w:val="20"/>
              </w:rPr>
              <w:t>WIP</w:t>
            </w:r>
            <w:r w:rsidR="00906B72" w:rsidRPr="00906B72">
              <w:rPr>
                <w:sz w:val="20"/>
                <w:szCs w:val="20"/>
              </w:rPr>
              <w:t>s are</w:t>
            </w:r>
            <w:r w:rsidRPr="00906B72">
              <w:rPr>
                <w:sz w:val="20"/>
                <w:szCs w:val="20"/>
              </w:rPr>
              <w:t xml:space="preserve"> to be completed in 2019.</w:t>
            </w:r>
          </w:p>
        </w:tc>
        <w:tc>
          <w:tcPr>
            <w:tcW w:w="3060" w:type="dxa"/>
            <w:shd w:val="clear" w:color="auto" w:fill="D9D9D9" w:themeFill="background1" w:themeFillShade="D9"/>
          </w:tcPr>
          <w:p w14:paraId="07469E6E" w14:textId="77777777" w:rsidR="00561537" w:rsidRPr="00906B72"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More refined local goals; more study and remedies in response to new sources with implementation planning improvements. See e.g., the MDE webpage related to Water Quality Certification of the Conowingo Dam and solutions to sediment infill: </w:t>
            </w:r>
            <w:hyperlink r:id="rId17" w:history="1">
              <w:r w:rsidRPr="00906B72">
                <w:rPr>
                  <w:color w:val="0563C1" w:themeColor="hyperlink"/>
                  <w:sz w:val="20"/>
                  <w:szCs w:val="20"/>
                  <w:u w:val="single"/>
                </w:rPr>
                <w:t>http://mde.maryland.gov/programs/Marylander/Pages/conowingo_pilot.aspx</w:t>
              </w:r>
            </w:hyperlink>
          </w:p>
          <w:p w14:paraId="71074059" w14:textId="77777777" w:rsidR="00FA6BB5" w:rsidRPr="00906B72" w:rsidRDefault="00FA6BB5">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3E3C84B4" w14:textId="06A9C5C4" w:rsidR="00FA6BB5" w:rsidRPr="00DB3E82" w:rsidRDefault="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w:t>
            </w:r>
          </w:p>
        </w:tc>
      </w:tr>
      <w:tr w:rsidR="00906B72" w:rsidRPr="00DB3E82" w14:paraId="2CAD9FEF"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7A8E22FA" w14:textId="24C76EEC" w:rsidR="00FA6BB5" w:rsidRPr="00BA7E55" w:rsidRDefault="00FA6BB5" w:rsidP="00BA7E55">
            <w:pPr>
              <w:pStyle w:val="ListParagraph"/>
              <w:numPr>
                <w:ilvl w:val="0"/>
                <w:numId w:val="12"/>
              </w:numPr>
              <w:rPr>
                <w:sz w:val="20"/>
                <w:szCs w:val="20"/>
              </w:rPr>
            </w:pPr>
            <w:r w:rsidRPr="00BA7E55">
              <w:rPr>
                <w:rStyle w:val="Bold"/>
                <w:sz w:val="20"/>
                <w:szCs w:val="20"/>
              </w:rPr>
              <w:t>Quantifying the reductions from pollution control practices and verifying their continued performance</w:t>
            </w:r>
          </w:p>
        </w:tc>
        <w:tc>
          <w:tcPr>
            <w:tcW w:w="1530" w:type="dxa"/>
          </w:tcPr>
          <w:p w14:paraId="39E0C81B" w14:textId="4BE1994D" w:rsidR="00FA6BB5" w:rsidRDefault="00E32BA6" w:rsidP="00303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BMP expert panels and </w:t>
            </w:r>
            <w:r w:rsidR="00E05E3C">
              <w:rPr>
                <w:sz w:val="20"/>
                <w:szCs w:val="20"/>
              </w:rPr>
              <w:t>implementation</w:t>
            </w:r>
            <w:r>
              <w:rPr>
                <w:sz w:val="20"/>
                <w:szCs w:val="20"/>
              </w:rPr>
              <w:t xml:space="preserve"> of BMP verification programs</w:t>
            </w:r>
          </w:p>
        </w:tc>
        <w:tc>
          <w:tcPr>
            <w:tcW w:w="1530" w:type="dxa"/>
          </w:tcPr>
          <w:p w14:paraId="7F69943D" w14:textId="10DAAF80" w:rsidR="00FA6BB5" w:rsidRPr="00D42EAC" w:rsidRDefault="00B63394" w:rsidP="00560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Streamlining and simplification of the requirements for BMP verification as described in the 2014 BMP Framework to recognize resource limitations; i</w:t>
            </w:r>
            <w:r w:rsidR="00E32BA6" w:rsidRPr="00D42EAC">
              <w:rPr>
                <w:sz w:val="20"/>
                <w:szCs w:val="20"/>
              </w:rPr>
              <w:t>mplementation of BMP verification programs; continued crediting of new, innovative practices</w:t>
            </w:r>
          </w:p>
        </w:tc>
        <w:tc>
          <w:tcPr>
            <w:tcW w:w="1530" w:type="dxa"/>
          </w:tcPr>
          <w:p w14:paraId="1068DF99" w14:textId="6D429A88" w:rsidR="00FA6BB5" w:rsidRPr="002E66EA" w:rsidRDefault="00F828F5">
            <w:pPr>
              <w:cnfStyle w:val="000000000000" w:firstRow="0" w:lastRow="0" w:firstColumn="0" w:lastColumn="0" w:oddVBand="0" w:evenVBand="0" w:oddHBand="0" w:evenHBand="0" w:firstRowFirstColumn="0" w:firstRowLastColumn="0" w:lastRowFirstColumn="0" w:lastRowLastColumn="0"/>
              <w:rPr>
                <w:b/>
                <w:sz w:val="20"/>
                <w:szCs w:val="20"/>
              </w:rPr>
            </w:pPr>
            <w:r w:rsidRPr="002E66EA">
              <w:rPr>
                <w:b/>
                <w:sz w:val="20"/>
                <w:szCs w:val="20"/>
              </w:rPr>
              <w:t>Further quantifying the effect of variations in watershed properties (</w:t>
            </w:r>
            <w:r>
              <w:rPr>
                <w:b/>
                <w:sz w:val="20"/>
                <w:szCs w:val="20"/>
              </w:rPr>
              <w:t xml:space="preserve">such as </w:t>
            </w:r>
            <w:r w:rsidRPr="002E66EA">
              <w:rPr>
                <w:b/>
                <w:sz w:val="20"/>
                <w:szCs w:val="20"/>
              </w:rPr>
              <w:t>soils</w:t>
            </w:r>
            <w:r>
              <w:rPr>
                <w:b/>
                <w:sz w:val="20"/>
                <w:szCs w:val="20"/>
              </w:rPr>
              <w:t>, geology</w:t>
            </w:r>
            <w:r w:rsidRPr="002E66EA">
              <w:rPr>
                <w:b/>
                <w:sz w:val="20"/>
                <w:szCs w:val="20"/>
              </w:rPr>
              <w:t xml:space="preserve">) on </w:t>
            </w:r>
            <w:r>
              <w:rPr>
                <w:b/>
                <w:sz w:val="20"/>
                <w:szCs w:val="20"/>
              </w:rPr>
              <w:t>nutrient and sediment reduction practices</w:t>
            </w:r>
            <w:r w:rsidRPr="002E66EA">
              <w:rPr>
                <w:b/>
                <w:sz w:val="20"/>
                <w:szCs w:val="20"/>
              </w:rPr>
              <w:t>; quantifying changes in Best Management Practices (BMP) performance over time</w:t>
            </w:r>
            <w:r>
              <w:rPr>
                <w:b/>
                <w:sz w:val="20"/>
                <w:szCs w:val="20"/>
              </w:rPr>
              <w:t xml:space="preserve"> through verification</w:t>
            </w:r>
            <w:r w:rsidRPr="002E66EA">
              <w:rPr>
                <w:b/>
                <w:sz w:val="20"/>
                <w:szCs w:val="20"/>
              </w:rPr>
              <w:t>; and evaluating the potential future impacts of climate change on BMP performance</w:t>
            </w:r>
          </w:p>
        </w:tc>
        <w:tc>
          <w:tcPr>
            <w:tcW w:w="2610" w:type="dxa"/>
            <w:shd w:val="clear" w:color="auto" w:fill="D9D9D9" w:themeFill="background1" w:themeFillShade="D9"/>
          </w:tcPr>
          <w:p w14:paraId="78C51302" w14:textId="77777777" w:rsidR="00BA7E55" w:rsidRPr="00906B72"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METRIC EXISTS.</w:t>
            </w:r>
          </w:p>
          <w:p w14:paraId="2256B8BD" w14:textId="3B77271E" w:rsidR="00FA6BB5" w:rsidRPr="00906B72"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Current annual progress is one method to assess implementation relative to achievement of the 2025 goals.</w:t>
            </w:r>
          </w:p>
        </w:tc>
        <w:tc>
          <w:tcPr>
            <w:tcW w:w="3060" w:type="dxa"/>
            <w:shd w:val="clear" w:color="auto" w:fill="D9D9D9" w:themeFill="background1" w:themeFillShade="D9"/>
          </w:tcPr>
          <w:p w14:paraId="73FA016D" w14:textId="61439C93" w:rsidR="00FA6BB5" w:rsidRPr="00906B72" w:rsidRDefault="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There will be further review of methods to quantify reduction scenarios as needed once modeling tools are finalized and local goals are developed.</w:t>
            </w:r>
          </w:p>
        </w:tc>
        <w:tc>
          <w:tcPr>
            <w:tcW w:w="2245" w:type="dxa"/>
            <w:shd w:val="clear" w:color="auto" w:fill="D9D9D9" w:themeFill="background1" w:themeFillShade="D9"/>
          </w:tcPr>
          <w:p w14:paraId="59159979" w14:textId="40722027" w:rsidR="00FA6BB5" w:rsidRPr="00906B72" w:rsidRDefault="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One lesson has become evident: BMP verification must be robust and applicable across sectors.</w:t>
            </w:r>
          </w:p>
        </w:tc>
      </w:tr>
      <w:tr w:rsidR="00906B72" w:rsidRPr="00DB3E82" w14:paraId="24BC9ACE"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77696AFB" w14:textId="3579C4B8" w:rsidR="00A712A1" w:rsidRPr="00BA7E55" w:rsidRDefault="00A712A1" w:rsidP="00BA7E55">
            <w:pPr>
              <w:pStyle w:val="ListParagraph"/>
              <w:numPr>
                <w:ilvl w:val="0"/>
                <w:numId w:val="12"/>
              </w:numPr>
              <w:rPr>
                <w:sz w:val="20"/>
                <w:szCs w:val="20"/>
              </w:rPr>
            </w:pPr>
            <w:r w:rsidRPr="00BA7E55">
              <w:rPr>
                <w:rStyle w:val="Bold"/>
                <w:sz w:val="20"/>
                <w:szCs w:val="20"/>
              </w:rPr>
              <w:lastRenderedPageBreak/>
              <w:t>Enhancing the next generation of decision support tools (Phase 6)</w:t>
            </w:r>
          </w:p>
        </w:tc>
        <w:tc>
          <w:tcPr>
            <w:tcW w:w="1530" w:type="dxa"/>
          </w:tcPr>
          <w:p w14:paraId="223A2083" w14:textId="4A791801" w:rsidR="00A712A1" w:rsidRDefault="00A712A1"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Completed - Phase 6 model development occurred over past 5 years, approval by PSC for management application </w:t>
            </w:r>
          </w:p>
        </w:tc>
        <w:tc>
          <w:tcPr>
            <w:tcW w:w="1530" w:type="dxa"/>
          </w:tcPr>
          <w:p w14:paraId="2AFE08D9" w14:textId="4FA65E92" w:rsidR="00A712A1" w:rsidRPr="00D42EAC" w:rsidRDefault="00F828F5"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to b</w:t>
            </w:r>
            <w:r w:rsidRPr="00D42EAC">
              <w:rPr>
                <w:sz w:val="20"/>
                <w:szCs w:val="20"/>
              </w:rPr>
              <w:t>uild in optimization system</w:t>
            </w:r>
            <w:r>
              <w:rPr>
                <w:sz w:val="20"/>
                <w:szCs w:val="20"/>
              </w:rPr>
              <w:t xml:space="preserve"> to address costs and effectiveness. Explore approaches to build in co-benefits of water quality practices with other CBP outcomes into decision support tools.</w:t>
            </w:r>
            <w:r w:rsidR="00B63394">
              <w:rPr>
                <w:sz w:val="20"/>
                <w:szCs w:val="20"/>
              </w:rPr>
              <w:t xml:space="preserve"> Refine Phase 6 Model as agreed to address simulation of phosphorus in soil</w:t>
            </w:r>
          </w:p>
        </w:tc>
        <w:tc>
          <w:tcPr>
            <w:tcW w:w="1530" w:type="dxa"/>
          </w:tcPr>
          <w:p w14:paraId="6EA63CB4" w14:textId="679B7DA6" w:rsidR="00A712A1" w:rsidRDefault="00A712A1" w:rsidP="00A712A1">
            <w:pPr>
              <w:cnfStyle w:val="000000100000" w:firstRow="0" w:lastRow="0" w:firstColumn="0" w:lastColumn="0" w:oddVBand="0" w:evenVBand="0" w:oddHBand="1" w:evenHBand="0" w:firstRowFirstColumn="0" w:firstRowLastColumn="0" w:lastRowFirstColumn="0" w:lastRowLastColumn="0"/>
            </w:pPr>
            <w:r>
              <w:rPr>
                <w:sz w:val="20"/>
                <w:szCs w:val="20"/>
              </w:rPr>
              <w:t>Completed</w:t>
            </w:r>
            <w:r w:rsidRPr="002D26A9">
              <w:rPr>
                <w:sz w:val="20"/>
                <w:szCs w:val="20"/>
              </w:rPr>
              <w:t xml:space="preserve"> – Phase 6 suite of modeling tools released and approved by the CBP partnership for manag</w:t>
            </w:r>
            <w:r>
              <w:rPr>
                <w:sz w:val="20"/>
                <w:szCs w:val="20"/>
              </w:rPr>
              <w:t>ement</w:t>
            </w:r>
            <w:r w:rsidRPr="002D26A9">
              <w:rPr>
                <w:sz w:val="20"/>
                <w:szCs w:val="20"/>
              </w:rPr>
              <w:t xml:space="preserve"> application in the Phase III WIPs and two-year milestones</w:t>
            </w:r>
            <w:r>
              <w:rPr>
                <w:sz w:val="20"/>
                <w:szCs w:val="20"/>
              </w:rPr>
              <w:t xml:space="preserve">. </w:t>
            </w:r>
            <w:r w:rsidRPr="002D26A9">
              <w:rPr>
                <w:sz w:val="20"/>
                <w:szCs w:val="20"/>
              </w:rPr>
              <w:t xml:space="preserve"> </w:t>
            </w:r>
            <w:r>
              <w:rPr>
                <w:sz w:val="20"/>
                <w:szCs w:val="20"/>
              </w:rPr>
              <w:t xml:space="preserve">Modeling tools will be updated with new information every two years, to coincide with two-year milestone development. </w:t>
            </w:r>
            <w:r w:rsidR="00F828F5">
              <w:rPr>
                <w:sz w:val="20"/>
                <w:szCs w:val="20"/>
              </w:rPr>
              <w:t>Develop approaches to better quantify co-benefits with other outcomes into decision-support tools</w:t>
            </w:r>
          </w:p>
        </w:tc>
        <w:tc>
          <w:tcPr>
            <w:tcW w:w="2610" w:type="dxa"/>
            <w:shd w:val="clear" w:color="auto" w:fill="D9D9D9" w:themeFill="background1" w:themeFillShade="D9"/>
          </w:tcPr>
          <w:p w14:paraId="25446213" w14:textId="77777777" w:rsidR="00BA7E55" w:rsidRPr="00906B72" w:rsidRDefault="00BA7E55" w:rsidP="00BA7E55">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METRIC EXISTS. </w:t>
            </w:r>
          </w:p>
          <w:p w14:paraId="7A73B75A" w14:textId="2527BE1A" w:rsidR="00A712A1" w:rsidRPr="00906B72" w:rsidRDefault="00BA7E55" w:rsidP="00BA7E55">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sidR="00906B72">
              <w:rPr>
                <w:sz w:val="20"/>
                <w:szCs w:val="20"/>
              </w:rPr>
              <w:t>were</w:t>
            </w:r>
            <w:r w:rsidRPr="00906B72">
              <w:rPr>
                <w:sz w:val="20"/>
                <w:szCs w:val="20"/>
              </w:rPr>
              <w:t xml:space="preserve"> finalized in </w:t>
            </w:r>
            <w:r w:rsidR="00906B72">
              <w:rPr>
                <w:sz w:val="20"/>
                <w:szCs w:val="20"/>
              </w:rPr>
              <w:t>2017 and Phase III WIPs are</w:t>
            </w:r>
            <w:r w:rsidRPr="00906B72">
              <w:rPr>
                <w:sz w:val="20"/>
                <w:szCs w:val="20"/>
              </w:rPr>
              <w:t xml:space="preserve"> to be completed in 2019.</w:t>
            </w:r>
          </w:p>
        </w:tc>
        <w:tc>
          <w:tcPr>
            <w:tcW w:w="3060" w:type="dxa"/>
            <w:shd w:val="clear" w:color="auto" w:fill="D9D9D9" w:themeFill="background1" w:themeFillShade="D9"/>
          </w:tcPr>
          <w:p w14:paraId="444E028A" w14:textId="6C97EA6C" w:rsidR="00A712A1" w:rsidRPr="00906B7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Better understanding and application of modeling framework has become possible. The models represent better and more land use categories, take advantage of refined land use capture methods and incorporate local data in some jurisdictions, all of which improves the accuracy and resolution of the products which in turn helps to better guide Chesapeake Bay restoration decisions.</w:t>
            </w:r>
          </w:p>
        </w:tc>
        <w:tc>
          <w:tcPr>
            <w:tcW w:w="2245" w:type="dxa"/>
            <w:shd w:val="clear" w:color="auto" w:fill="D9D9D9" w:themeFill="background1" w:themeFillShade="D9"/>
          </w:tcPr>
          <w:p w14:paraId="7FC431EF" w14:textId="2538953F" w:rsidR="00A712A1" w:rsidRPr="00906B7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State agencies, NGOs and local government and citizen advisory committees will continue to participate in Chesapeake Bay Partnership meetings, decisions and to contribute to the assessment of progress toward 2025.</w:t>
            </w:r>
          </w:p>
        </w:tc>
      </w:tr>
      <w:tr w:rsidR="00906B72" w:rsidRPr="00DB3E82" w14:paraId="1488FA6D"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00F8B900" w14:textId="6BCD1FB4" w:rsidR="00A712A1" w:rsidRPr="00BA7E55" w:rsidRDefault="00A712A1" w:rsidP="00BA7E55">
            <w:pPr>
              <w:pStyle w:val="ListParagraph"/>
              <w:numPr>
                <w:ilvl w:val="0"/>
                <w:numId w:val="12"/>
              </w:numPr>
              <w:rPr>
                <w:sz w:val="20"/>
                <w:szCs w:val="20"/>
              </w:rPr>
            </w:pPr>
            <w:r w:rsidRPr="00BA7E55">
              <w:rPr>
                <w:rStyle w:val="Bold"/>
                <w:spacing w:val="-2"/>
                <w:sz w:val="20"/>
                <w:szCs w:val="20"/>
              </w:rPr>
              <w:t xml:space="preserve">Revisiting watershed </w:t>
            </w:r>
            <w:r w:rsidRPr="00BA7E55">
              <w:rPr>
                <w:rStyle w:val="Bold"/>
                <w:spacing w:val="-2"/>
                <w:sz w:val="20"/>
                <w:szCs w:val="20"/>
              </w:rPr>
              <w:lastRenderedPageBreak/>
              <w:t>model calibration methods with the goal of improving local watershed results</w:t>
            </w:r>
          </w:p>
        </w:tc>
        <w:tc>
          <w:tcPr>
            <w:tcW w:w="1530" w:type="dxa"/>
          </w:tcPr>
          <w:p w14:paraId="60DDF570" w14:textId="1C4924DB" w:rsidR="00A712A1"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Completed – Modeling </w:t>
            </w:r>
            <w:r>
              <w:rPr>
                <w:sz w:val="20"/>
                <w:szCs w:val="20"/>
              </w:rPr>
              <w:lastRenderedPageBreak/>
              <w:t xml:space="preserve">Workgroup, WQGIT, and source sector workgroups spent last 5+ years preparing Phase 6 modeling tools for final calibration. </w:t>
            </w:r>
          </w:p>
        </w:tc>
        <w:tc>
          <w:tcPr>
            <w:tcW w:w="1530" w:type="dxa"/>
          </w:tcPr>
          <w:p w14:paraId="3E1DB71E" w14:textId="13B0A6F7" w:rsidR="00A712A1" w:rsidRPr="002D26A9"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Project completed – </w:t>
            </w:r>
            <w:r>
              <w:rPr>
                <w:sz w:val="20"/>
                <w:szCs w:val="20"/>
              </w:rPr>
              <w:lastRenderedPageBreak/>
              <w:t xml:space="preserve">Phase 6 suite of modeling tools underwent final calibration and are now ready for management application in the Phase III WIPs and two-year milestones </w:t>
            </w:r>
          </w:p>
        </w:tc>
        <w:tc>
          <w:tcPr>
            <w:tcW w:w="1530" w:type="dxa"/>
          </w:tcPr>
          <w:p w14:paraId="1506DAEF" w14:textId="1D259CE9" w:rsidR="00A712A1" w:rsidRPr="002D26A9"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Completed</w:t>
            </w:r>
            <w:r w:rsidRPr="002D26A9">
              <w:rPr>
                <w:sz w:val="20"/>
                <w:szCs w:val="20"/>
              </w:rPr>
              <w:t xml:space="preserve"> – Phase 6 suite of </w:t>
            </w:r>
            <w:r w:rsidRPr="002D26A9">
              <w:rPr>
                <w:sz w:val="20"/>
                <w:szCs w:val="20"/>
              </w:rPr>
              <w:lastRenderedPageBreak/>
              <w:t>modeling tools released and approved by the CBP partnership for manag</w:t>
            </w:r>
            <w:r>
              <w:rPr>
                <w:sz w:val="20"/>
                <w:szCs w:val="20"/>
              </w:rPr>
              <w:t>ement</w:t>
            </w:r>
            <w:r w:rsidRPr="002D26A9">
              <w:rPr>
                <w:sz w:val="20"/>
                <w:szCs w:val="20"/>
              </w:rPr>
              <w:t xml:space="preserve"> application in the Phase III WIPs and two-year milestones</w:t>
            </w:r>
            <w:r>
              <w:rPr>
                <w:sz w:val="20"/>
                <w:szCs w:val="20"/>
              </w:rPr>
              <w:t xml:space="preserve">. </w:t>
            </w:r>
            <w:r w:rsidRPr="002D26A9">
              <w:rPr>
                <w:sz w:val="20"/>
                <w:szCs w:val="20"/>
              </w:rPr>
              <w:t xml:space="preserve"> </w:t>
            </w:r>
            <w:r>
              <w:rPr>
                <w:sz w:val="20"/>
                <w:szCs w:val="20"/>
              </w:rPr>
              <w:t xml:space="preserve">Modeling tools will be updated with new information every two years, to coincide with two-year milestone development. </w:t>
            </w:r>
          </w:p>
        </w:tc>
        <w:tc>
          <w:tcPr>
            <w:tcW w:w="2610" w:type="dxa"/>
            <w:shd w:val="clear" w:color="auto" w:fill="D9D9D9" w:themeFill="background1" w:themeFillShade="D9"/>
          </w:tcPr>
          <w:p w14:paraId="4309BEEB" w14:textId="52CE791B" w:rsidR="00A712A1" w:rsidRPr="00DB3E82" w:rsidRDefault="00BA7E55" w:rsidP="00A712A1">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lastRenderedPageBreak/>
              <w:t>See response to # 5 above.</w:t>
            </w:r>
          </w:p>
        </w:tc>
        <w:tc>
          <w:tcPr>
            <w:tcW w:w="3060" w:type="dxa"/>
            <w:shd w:val="clear" w:color="auto" w:fill="D9D9D9" w:themeFill="background1" w:themeFillShade="D9"/>
          </w:tcPr>
          <w:p w14:paraId="67EE0AC5" w14:textId="77777777" w:rsidR="00A712A1" w:rsidRPr="00DB3E82"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322019C2" w14:textId="77777777" w:rsidR="00A712A1" w:rsidRPr="00DB3E82"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r>
      <w:tr w:rsidR="00906B72" w:rsidRPr="00DB3E82" w14:paraId="524EA50D"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0049F864" w14:textId="711E4861" w:rsidR="00A712A1" w:rsidRPr="00BA7E55" w:rsidRDefault="00A712A1" w:rsidP="00BA7E55">
            <w:pPr>
              <w:pStyle w:val="ListParagraph"/>
              <w:numPr>
                <w:ilvl w:val="0"/>
                <w:numId w:val="12"/>
              </w:numPr>
              <w:rPr>
                <w:sz w:val="20"/>
                <w:szCs w:val="20"/>
              </w:rPr>
            </w:pPr>
            <w:r w:rsidRPr="00BA7E55">
              <w:rPr>
                <w:rStyle w:val="Bold"/>
                <w:sz w:val="20"/>
                <w:szCs w:val="20"/>
              </w:rPr>
              <w:t xml:space="preserve">Reviewing and updating historical implementation data that has been submitted by the jurisdictions to the CBP partnership, confirming that BMPs are still in </w:t>
            </w:r>
            <w:r w:rsidRPr="00BA7E55">
              <w:rPr>
                <w:rStyle w:val="Bold"/>
                <w:sz w:val="20"/>
                <w:szCs w:val="20"/>
              </w:rPr>
              <w:lastRenderedPageBreak/>
              <w:t>place and ensuring that accurate information is included in the modeling tools</w:t>
            </w:r>
          </w:p>
        </w:tc>
        <w:tc>
          <w:tcPr>
            <w:tcW w:w="1530" w:type="dxa"/>
          </w:tcPr>
          <w:p w14:paraId="30CAB1B4" w14:textId="0620358A" w:rsidR="00A712A1" w:rsidRDefault="007E2C2E"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Completed – jurisdictions have spent the last couple years updating their BMP historical data, as well as developing their BMP verification programs </w:t>
            </w:r>
          </w:p>
        </w:tc>
        <w:tc>
          <w:tcPr>
            <w:tcW w:w="1530" w:type="dxa"/>
          </w:tcPr>
          <w:p w14:paraId="6B1001A8" w14:textId="27CC6F66" w:rsidR="00A712A1" w:rsidRPr="007E2C2E" w:rsidRDefault="00B63394"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Basinwide BMP Verification Framework needs to be streamlined and simplified to allow for realistic verification programs based on available </w:t>
            </w:r>
            <w:r>
              <w:rPr>
                <w:sz w:val="20"/>
                <w:szCs w:val="20"/>
              </w:rPr>
              <w:lastRenderedPageBreak/>
              <w:t xml:space="preserve">resources. </w:t>
            </w:r>
            <w:r w:rsidR="002E66EA">
              <w:rPr>
                <w:sz w:val="20"/>
                <w:szCs w:val="20"/>
              </w:rPr>
              <w:t xml:space="preserve">BMP verification program implementation and annual progress submissions </w:t>
            </w:r>
          </w:p>
        </w:tc>
        <w:tc>
          <w:tcPr>
            <w:tcW w:w="1530" w:type="dxa"/>
          </w:tcPr>
          <w:p w14:paraId="601C8C41" w14:textId="3DAE57A8" w:rsidR="00A712A1" w:rsidRPr="00E90187" w:rsidRDefault="002E66EA" w:rsidP="00A712A1">
            <w:pPr>
              <w:cnfStyle w:val="000000100000" w:firstRow="0" w:lastRow="0" w:firstColumn="0" w:lastColumn="0" w:oddVBand="0" w:evenVBand="0" w:oddHBand="1" w:evenHBand="0" w:firstRowFirstColumn="0" w:firstRowLastColumn="0" w:lastRowFirstColumn="0" w:lastRowLastColumn="0"/>
              <w:rPr>
                <w:sz w:val="20"/>
                <w:szCs w:val="20"/>
              </w:rPr>
            </w:pPr>
            <w:r w:rsidRPr="00E90187">
              <w:rPr>
                <w:sz w:val="20"/>
                <w:szCs w:val="20"/>
              </w:rPr>
              <w:lastRenderedPageBreak/>
              <w:t xml:space="preserve">BMP verification program </w:t>
            </w:r>
            <w:r w:rsidR="00B63394">
              <w:rPr>
                <w:sz w:val="20"/>
                <w:szCs w:val="20"/>
              </w:rPr>
              <w:t xml:space="preserve">protocols simplified. BMP verification program </w:t>
            </w:r>
            <w:r w:rsidRPr="00E90187">
              <w:rPr>
                <w:sz w:val="20"/>
                <w:szCs w:val="20"/>
              </w:rPr>
              <w:t>implementation and annual progress submissions</w:t>
            </w:r>
          </w:p>
        </w:tc>
        <w:tc>
          <w:tcPr>
            <w:tcW w:w="2610" w:type="dxa"/>
            <w:shd w:val="clear" w:color="auto" w:fill="D9D9D9" w:themeFill="background1" w:themeFillShade="D9"/>
          </w:tcPr>
          <w:p w14:paraId="39B23EEB" w14:textId="77777777" w:rsidR="00BA7E55" w:rsidRPr="00906B72" w:rsidRDefault="00BA7E55" w:rsidP="00BA7E55">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METRIC EXISTS.</w:t>
            </w:r>
          </w:p>
          <w:p w14:paraId="06249A96" w14:textId="77777777" w:rsidR="00BA7E55" w:rsidRPr="00906B72" w:rsidRDefault="00BA7E55" w:rsidP="00BA7E55">
            <w:pPr>
              <w:cnfStyle w:val="000000100000" w:firstRow="0" w:lastRow="0" w:firstColumn="0" w:lastColumn="0" w:oddVBand="0" w:evenVBand="0" w:oddHBand="1" w:evenHBand="0" w:firstRowFirstColumn="0" w:firstRowLastColumn="0" w:lastRowFirstColumn="0" w:lastRowLastColumn="0"/>
              <w:rPr>
                <w:sz w:val="20"/>
                <w:szCs w:val="20"/>
              </w:rPr>
            </w:pPr>
          </w:p>
          <w:p w14:paraId="423D8E21" w14:textId="454B1E78" w:rsidR="00A712A1" w:rsidRPr="00906B72" w:rsidRDefault="00BA7E55" w:rsidP="00BA7E55">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Annual progress reviews will continue.</w:t>
            </w:r>
          </w:p>
        </w:tc>
        <w:tc>
          <w:tcPr>
            <w:tcW w:w="3060" w:type="dxa"/>
            <w:shd w:val="clear" w:color="auto" w:fill="D9D9D9" w:themeFill="background1" w:themeFillShade="D9"/>
          </w:tcPr>
          <w:p w14:paraId="4E824CC6" w14:textId="19105777" w:rsidR="00A712A1" w:rsidRPr="00906B7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Verification protocols were developed.  See response to # 4 above</w:t>
            </w:r>
          </w:p>
        </w:tc>
        <w:tc>
          <w:tcPr>
            <w:tcW w:w="2245" w:type="dxa"/>
            <w:shd w:val="clear" w:color="auto" w:fill="D9D9D9" w:themeFill="background1" w:themeFillShade="D9"/>
          </w:tcPr>
          <w:p w14:paraId="77C81806" w14:textId="1BA7F495" w:rsidR="00A712A1" w:rsidRPr="00906B7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w:t>
            </w:r>
          </w:p>
        </w:tc>
      </w:tr>
      <w:tr w:rsidR="00906B72" w:rsidRPr="00DB3E82" w14:paraId="778D62BF"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5FE7BE49" w14:textId="1618886F" w:rsidR="00A712A1" w:rsidRPr="00BA7E55" w:rsidRDefault="00A712A1" w:rsidP="00BA7E55">
            <w:pPr>
              <w:pStyle w:val="ListParagraph"/>
              <w:numPr>
                <w:ilvl w:val="0"/>
                <w:numId w:val="12"/>
              </w:numPr>
              <w:rPr>
                <w:sz w:val="20"/>
                <w:szCs w:val="20"/>
              </w:rPr>
            </w:pPr>
            <w:r w:rsidRPr="00BA7E55">
              <w:rPr>
                <w:rStyle w:val="Bold"/>
                <w:sz w:val="20"/>
                <w:szCs w:val="20"/>
              </w:rPr>
              <w:t>Understanding the factors affecting the ecosystem response to pollutant load reductions to focus management efforts and strategies</w:t>
            </w:r>
          </w:p>
        </w:tc>
        <w:tc>
          <w:tcPr>
            <w:tcW w:w="1530" w:type="dxa"/>
          </w:tcPr>
          <w:p w14:paraId="587BEB68" w14:textId="63AE2DF2" w:rsidR="00A712A1" w:rsidRDefault="00F828F5"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Better understanding of “lag times”, which has been built into the Phase 6 suite of modeling tools for planning purposes. Explaining trends project (through STAR) provided initial findings for both the watershed and estuary. Held a STAC workshop, with WQ GIT reps, on ways to integrate the findings and inform WIP development. Explaining trends project </w:t>
            </w:r>
            <w:r>
              <w:rPr>
                <w:sz w:val="20"/>
                <w:szCs w:val="20"/>
              </w:rPr>
              <w:lastRenderedPageBreak/>
              <w:t xml:space="preserve">also providing a better understanding of other </w:t>
            </w:r>
            <w:r w:rsidRPr="00940845">
              <w:rPr>
                <w:sz w:val="20"/>
                <w:szCs w:val="20"/>
              </w:rPr>
              <w:t>factors in addition to nitrogen, phosphorus and sediment pollutant load reduction that affect response of DO, clarity, SAV and chlorophyll; the effects of climate change due to increased temperatures and sea level rise in the estuary</w:t>
            </w:r>
          </w:p>
        </w:tc>
        <w:tc>
          <w:tcPr>
            <w:tcW w:w="1530" w:type="dxa"/>
          </w:tcPr>
          <w:p w14:paraId="2502DC69" w14:textId="6E93560E" w:rsidR="00A712A1" w:rsidRPr="00940845" w:rsidRDefault="00F828F5"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w:t>
            </w:r>
            <w:r w:rsidRPr="00940845">
              <w:rPr>
                <w:sz w:val="20"/>
                <w:szCs w:val="20"/>
              </w:rPr>
              <w:t>he relationships between water quality improvements and the recovery of habitat conditions for fish and shellfish populations and how increases in plant and animal biomass in response to improved water quality improves the assimilative capacity of the system for nutrients and sediment</w:t>
            </w:r>
            <w:r>
              <w:rPr>
                <w:sz w:val="20"/>
                <w:szCs w:val="20"/>
              </w:rPr>
              <w:t xml:space="preserve">. Assess the time </w:t>
            </w:r>
            <w:r>
              <w:rPr>
                <w:sz w:val="20"/>
                <w:szCs w:val="20"/>
              </w:rPr>
              <w:lastRenderedPageBreak/>
              <w:t>it will take for different tidal segments to achieve water-quality standards to better understand responses restoration efforts</w:t>
            </w:r>
          </w:p>
        </w:tc>
        <w:tc>
          <w:tcPr>
            <w:tcW w:w="1530" w:type="dxa"/>
          </w:tcPr>
          <w:p w14:paraId="79CE63A2" w14:textId="74182083" w:rsidR="00A712A1" w:rsidRPr="00940845" w:rsidRDefault="00F828F5"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Refine studies and tools to improve the understanding of </w:t>
            </w:r>
            <w:r w:rsidRPr="0092343A">
              <w:rPr>
                <w:b/>
                <w:sz w:val="20"/>
                <w:szCs w:val="20"/>
              </w:rPr>
              <w:t>relation between BMP implementation and watershed and estuary response</w:t>
            </w:r>
            <w:r>
              <w:rPr>
                <w:sz w:val="20"/>
                <w:szCs w:val="20"/>
              </w:rPr>
              <w:t xml:space="preserve">. Provide enhanced focus </w:t>
            </w:r>
            <w:r w:rsidRPr="00940845">
              <w:rPr>
                <w:sz w:val="20"/>
                <w:szCs w:val="20"/>
              </w:rPr>
              <w:t xml:space="preserve">how </w:t>
            </w:r>
            <w:r w:rsidRPr="00940845">
              <w:rPr>
                <w:b/>
                <w:sz w:val="20"/>
                <w:szCs w:val="20"/>
              </w:rPr>
              <w:t>population changes and economic influences impact restoration activities</w:t>
            </w:r>
            <w:r>
              <w:rPr>
                <w:sz w:val="20"/>
                <w:szCs w:val="20"/>
              </w:rPr>
              <w:t xml:space="preserve"> </w:t>
            </w:r>
            <w:r w:rsidRPr="00940845">
              <w:rPr>
                <w:sz w:val="20"/>
                <w:szCs w:val="20"/>
              </w:rPr>
              <w:t xml:space="preserve">and an </w:t>
            </w:r>
            <w:r w:rsidRPr="00940845">
              <w:rPr>
                <w:b/>
                <w:sz w:val="20"/>
                <w:szCs w:val="20"/>
              </w:rPr>
              <w:t>improved understanding of uncertainty</w:t>
            </w:r>
            <w:r w:rsidRPr="00940845">
              <w:rPr>
                <w:sz w:val="20"/>
                <w:szCs w:val="20"/>
              </w:rPr>
              <w:t xml:space="preserve"> associated with model projections</w:t>
            </w:r>
            <w:r>
              <w:rPr>
                <w:sz w:val="20"/>
                <w:szCs w:val="20"/>
              </w:rPr>
              <w:t xml:space="preserve">. </w:t>
            </w:r>
            <w:r>
              <w:rPr>
                <w:sz w:val="20"/>
                <w:szCs w:val="20"/>
              </w:rPr>
              <w:lastRenderedPageBreak/>
              <w:t>Establish stronger use of results to inform implementation of WIPs through 2025.</w:t>
            </w:r>
          </w:p>
        </w:tc>
        <w:tc>
          <w:tcPr>
            <w:tcW w:w="2610" w:type="dxa"/>
            <w:shd w:val="clear" w:color="auto" w:fill="D9D9D9" w:themeFill="background1" w:themeFillShade="D9"/>
          </w:tcPr>
          <w:p w14:paraId="5188F96B"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lastRenderedPageBreak/>
              <w:t>SEVERAL METRICS WILL BE NEEDED HERE.</w:t>
            </w:r>
          </w:p>
          <w:p w14:paraId="0ED54F06" w14:textId="77777777" w:rsidR="00BA7E55"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This is an ongoing effort.</w:t>
            </w:r>
          </w:p>
          <w:p w14:paraId="7DD14698" w14:textId="77777777" w:rsidR="00A712A1" w:rsidRPr="00DB3E82"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c>
          <w:tcPr>
            <w:tcW w:w="3060" w:type="dxa"/>
            <w:shd w:val="clear" w:color="auto" w:fill="D9D9D9" w:themeFill="background1" w:themeFillShade="D9"/>
          </w:tcPr>
          <w:p w14:paraId="4A136740" w14:textId="77777777" w:rsidR="00BA7E55" w:rsidRPr="00906B72"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 xml:space="preserve">Many options are available and could include: </w:t>
            </w:r>
          </w:p>
          <w:p w14:paraId="656CEDFF" w14:textId="77777777" w:rsidR="00BA7E55" w:rsidRPr="00906B72" w:rsidRDefault="00BA7E55" w:rsidP="00BA7E55">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Technical, scientific studies of the uncertainties, such as time lag in restoration or targeting more effective practices and implementation locations</w:t>
            </w:r>
          </w:p>
          <w:p w14:paraId="1EF3311F" w14:textId="77777777" w:rsidR="00BA7E55" w:rsidRPr="00906B72" w:rsidRDefault="00BA7E55" w:rsidP="00BA7E55">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Financial studies and gap analyses to determine innovative funding initiatives and needs</w:t>
            </w:r>
          </w:p>
          <w:p w14:paraId="72B031CC" w14:textId="77777777" w:rsidR="00BA7E55" w:rsidRPr="00906B72" w:rsidRDefault="00BA7E55" w:rsidP="00BA7E55">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 xml:space="preserve">Population projections and trends coupled with economic estimates related to restoration and growth capacity analysis </w:t>
            </w:r>
          </w:p>
          <w:p w14:paraId="608E2217" w14:textId="4404A187" w:rsidR="00A712A1" w:rsidRPr="00906B72"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Development of co-benefits analysis and promotion of multi</w:t>
            </w:r>
            <w:r w:rsidR="00906B72" w:rsidRPr="00906B72">
              <w:rPr>
                <w:sz w:val="20"/>
                <w:szCs w:val="20"/>
              </w:rPr>
              <w:t>-</w:t>
            </w:r>
            <w:r w:rsidRPr="00906B72">
              <w:rPr>
                <w:sz w:val="20"/>
                <w:szCs w:val="20"/>
              </w:rPr>
              <w:t>faceted interventions that produce economic activity in addition to resulting in higher eco system service benefits</w:t>
            </w:r>
          </w:p>
        </w:tc>
        <w:tc>
          <w:tcPr>
            <w:tcW w:w="2245" w:type="dxa"/>
            <w:shd w:val="clear" w:color="auto" w:fill="D9D9D9" w:themeFill="background1" w:themeFillShade="D9"/>
          </w:tcPr>
          <w:p w14:paraId="08E2E52C" w14:textId="77777777" w:rsidR="00BA7E55" w:rsidRPr="00906B72"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Jurisdictions engage with Chesapeake Bay partners that range from NGOs to academic institutions to develop economic solutions that improve environmental outcomes.</w:t>
            </w:r>
          </w:p>
          <w:p w14:paraId="47BEA359" w14:textId="77777777" w:rsidR="00A712A1" w:rsidRPr="00906B72"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r>
      <w:tr w:rsidR="00906B72" w:rsidRPr="00DB3E82" w14:paraId="4DCC5993"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3B273FCD" w14:textId="464680CC" w:rsidR="00A712A1" w:rsidRPr="00BA7E55" w:rsidRDefault="00A712A1" w:rsidP="00BA7E55">
            <w:pPr>
              <w:pStyle w:val="ListParagraph"/>
              <w:numPr>
                <w:ilvl w:val="0"/>
                <w:numId w:val="12"/>
              </w:numPr>
              <w:rPr>
                <w:sz w:val="20"/>
                <w:szCs w:val="20"/>
              </w:rPr>
            </w:pPr>
            <w:r w:rsidRPr="00BA7E55">
              <w:rPr>
                <w:rStyle w:val="Bold"/>
                <w:sz w:val="20"/>
                <w:szCs w:val="20"/>
              </w:rPr>
              <w:t>Factoring in effects from continued climate change</w:t>
            </w:r>
          </w:p>
        </w:tc>
        <w:tc>
          <w:tcPr>
            <w:tcW w:w="1530" w:type="dxa"/>
          </w:tcPr>
          <w:p w14:paraId="6BC76859" w14:textId="1E458441" w:rsidR="00A712A1" w:rsidRPr="00E251FA" w:rsidRDefault="00E251FA" w:rsidP="00A712A1">
            <w:pPr>
              <w:cnfStyle w:val="000000100000" w:firstRow="0" w:lastRow="0" w:firstColumn="0" w:lastColumn="0" w:oddVBand="0" w:evenVBand="0" w:oddHBand="1" w:evenHBand="0" w:firstRowFirstColumn="0" w:firstRowLastColumn="0" w:lastRowFirstColumn="0" w:lastRowLastColumn="0"/>
              <w:rPr>
                <w:sz w:val="20"/>
                <w:szCs w:val="20"/>
              </w:rPr>
            </w:pPr>
            <w:r w:rsidRPr="00E251FA">
              <w:rPr>
                <w:sz w:val="20"/>
                <w:szCs w:val="20"/>
              </w:rPr>
              <w:t xml:space="preserve">CBP partnership developed the tools to quantify the effects of changes in watershed flows, storm intensity and changes in hypoxia due to </w:t>
            </w:r>
            <w:r w:rsidRPr="00E251FA">
              <w:rPr>
                <w:sz w:val="20"/>
                <w:szCs w:val="20"/>
              </w:rPr>
              <w:lastRenderedPageBreak/>
              <w:t>increased temperatures and sea level rise in the estuary. Current efforts are to frame an initial future climate change scenario based on estimated 20</w:t>
            </w:r>
            <w:r w:rsidR="00A375E8">
              <w:rPr>
                <w:sz w:val="20"/>
                <w:szCs w:val="20"/>
              </w:rPr>
              <w:t>25</w:t>
            </w:r>
            <w:r w:rsidRPr="00E251FA">
              <w:rPr>
                <w:sz w:val="20"/>
                <w:szCs w:val="20"/>
              </w:rPr>
              <w:t xml:space="preserve"> conditions</w:t>
            </w:r>
          </w:p>
        </w:tc>
        <w:tc>
          <w:tcPr>
            <w:tcW w:w="1530" w:type="dxa"/>
          </w:tcPr>
          <w:p w14:paraId="5BFB061B" w14:textId="1706AA87" w:rsidR="00A712A1" w:rsidRPr="00BD19FB" w:rsidRDefault="00BD19FB"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Better understanding of climate resilient BMPs and the quantification of nutrient and sediment loads due to 2025 climate change impacts.</w:t>
            </w:r>
          </w:p>
        </w:tc>
        <w:tc>
          <w:tcPr>
            <w:tcW w:w="1530" w:type="dxa"/>
          </w:tcPr>
          <w:p w14:paraId="1DFDE5E6" w14:textId="33DDD19F" w:rsidR="00BD19FB" w:rsidRPr="00BD19FB" w:rsidRDefault="00BD19FB" w:rsidP="00BD19FB">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BD19FB">
              <w:rPr>
                <w:b/>
                <w:sz w:val="20"/>
                <w:szCs w:val="20"/>
              </w:rPr>
              <w:t xml:space="preserve">Document current state and local programs, policies, and strategies to address climate change impacts in the Phase III WIPs; </w:t>
            </w:r>
            <w:r>
              <w:rPr>
                <w:b/>
                <w:sz w:val="20"/>
                <w:szCs w:val="20"/>
              </w:rPr>
              <w:t>c</w:t>
            </w:r>
            <w:r w:rsidRPr="00BD19FB">
              <w:rPr>
                <w:b/>
                <w:sz w:val="20"/>
                <w:szCs w:val="20"/>
              </w:rPr>
              <w:t xml:space="preserve">ontinue </w:t>
            </w:r>
            <w:r w:rsidRPr="00BD19FB">
              <w:rPr>
                <w:b/>
                <w:sz w:val="20"/>
                <w:szCs w:val="20"/>
              </w:rPr>
              <w:lastRenderedPageBreak/>
              <w:t xml:space="preserve">to understand the science and research behind climate-resilient BMPs to better address climate change conditions, such as storm intensity; and </w:t>
            </w:r>
            <w:r>
              <w:rPr>
                <w:b/>
                <w:sz w:val="20"/>
                <w:szCs w:val="20"/>
              </w:rPr>
              <w:t>c</w:t>
            </w:r>
            <w:r w:rsidRPr="00BD19FB">
              <w:rPr>
                <w:b/>
                <w:sz w:val="20"/>
                <w:szCs w:val="20"/>
              </w:rPr>
              <w:t>ontinue to refine the estimate of pollutant load changes due to 2025 conditions so that jurisdictions will be</w:t>
            </w:r>
            <w:r w:rsidR="00B63394">
              <w:rPr>
                <w:b/>
                <w:sz w:val="20"/>
                <w:szCs w:val="20"/>
              </w:rPr>
              <w:t xml:space="preserve"> able to meet the expectation</w:t>
            </w:r>
            <w:r w:rsidRPr="00BD19FB">
              <w:rPr>
                <w:b/>
                <w:sz w:val="20"/>
                <w:szCs w:val="20"/>
              </w:rPr>
              <w:t xml:space="preserve"> to account for these additional nutrient and sediment pollutant loads </w:t>
            </w:r>
            <w:r w:rsidRPr="00BD19FB">
              <w:rPr>
                <w:b/>
                <w:sz w:val="20"/>
                <w:szCs w:val="20"/>
              </w:rPr>
              <w:lastRenderedPageBreak/>
              <w:t xml:space="preserve">beginning in 2022. </w:t>
            </w:r>
          </w:p>
          <w:p w14:paraId="482629AD" w14:textId="77777777" w:rsidR="00A712A1" w:rsidRPr="00BD19FB" w:rsidRDefault="00A712A1" w:rsidP="00A712A1">
            <w:pPr>
              <w:cnfStyle w:val="000000100000" w:firstRow="0" w:lastRow="0" w:firstColumn="0" w:lastColumn="0" w:oddVBand="0" w:evenVBand="0" w:oddHBand="1" w:evenHBand="0" w:firstRowFirstColumn="0" w:firstRowLastColumn="0" w:lastRowFirstColumn="0" w:lastRowLastColumn="0"/>
              <w:rPr>
                <w:b/>
                <w:sz w:val="20"/>
                <w:szCs w:val="20"/>
              </w:rPr>
            </w:pPr>
          </w:p>
        </w:tc>
        <w:tc>
          <w:tcPr>
            <w:tcW w:w="2610" w:type="dxa"/>
            <w:shd w:val="clear" w:color="auto" w:fill="D9D9D9" w:themeFill="background1" w:themeFillShade="D9"/>
          </w:tcPr>
          <w:p w14:paraId="7B19B2F4" w14:textId="77777777" w:rsidR="00A712A1" w:rsidRPr="00DB3E82" w:rsidRDefault="00A712A1" w:rsidP="00A712A1">
            <w:pPr>
              <w:cnfStyle w:val="000000100000" w:firstRow="0" w:lastRow="0" w:firstColumn="0" w:lastColumn="0" w:oddVBand="0" w:evenVBand="0" w:oddHBand="1" w:evenHBand="0" w:firstRowFirstColumn="0" w:firstRowLastColumn="0" w:lastRowFirstColumn="0" w:lastRowLastColumn="0"/>
              <w:rPr>
                <w:sz w:val="20"/>
                <w:szCs w:val="20"/>
              </w:rPr>
            </w:pPr>
          </w:p>
        </w:tc>
        <w:tc>
          <w:tcPr>
            <w:tcW w:w="3060" w:type="dxa"/>
            <w:shd w:val="clear" w:color="auto" w:fill="D9D9D9" w:themeFill="background1" w:themeFillShade="D9"/>
          </w:tcPr>
          <w:p w14:paraId="23F32411" w14:textId="77777777" w:rsidR="00A712A1" w:rsidRPr="00DB3E82" w:rsidRDefault="00A712A1" w:rsidP="00A712A1">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41BB6988" w14:textId="77777777" w:rsidR="00A712A1" w:rsidRPr="00DB3E82" w:rsidRDefault="00A712A1" w:rsidP="00A712A1">
            <w:pPr>
              <w:cnfStyle w:val="000000100000" w:firstRow="0" w:lastRow="0" w:firstColumn="0" w:lastColumn="0" w:oddVBand="0" w:evenVBand="0" w:oddHBand="1" w:evenHBand="0" w:firstRowFirstColumn="0" w:firstRowLastColumn="0" w:lastRowFirstColumn="0" w:lastRowLastColumn="0"/>
              <w:rPr>
                <w:sz w:val="20"/>
                <w:szCs w:val="20"/>
              </w:rPr>
            </w:pPr>
          </w:p>
        </w:tc>
      </w:tr>
      <w:tr w:rsidR="00906B72" w:rsidRPr="00E16B60" w14:paraId="061E6625"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7984AA74" w14:textId="19548AC5" w:rsidR="00A712A1" w:rsidRPr="00E16B60" w:rsidRDefault="00A712A1" w:rsidP="00E16B60">
            <w:pPr>
              <w:pStyle w:val="ListParagraph"/>
              <w:numPr>
                <w:ilvl w:val="0"/>
                <w:numId w:val="12"/>
              </w:numPr>
              <w:rPr>
                <w:sz w:val="20"/>
                <w:szCs w:val="20"/>
              </w:rPr>
            </w:pPr>
            <w:r w:rsidRPr="00E16B60">
              <w:rPr>
                <w:rStyle w:val="Bold"/>
                <w:sz w:val="20"/>
                <w:szCs w:val="20"/>
              </w:rPr>
              <w:lastRenderedPageBreak/>
              <w:t>Assessing the implementation potential of filter feeders for nutrient and sediment reductions</w:t>
            </w:r>
          </w:p>
        </w:tc>
        <w:tc>
          <w:tcPr>
            <w:tcW w:w="1530" w:type="dxa"/>
          </w:tcPr>
          <w:p w14:paraId="718C14FB" w14:textId="1A759427" w:rsidR="00A712A1" w:rsidRDefault="00A375E8" w:rsidP="00A712A1">
            <w:pPr>
              <w:cnfStyle w:val="000000000000" w:firstRow="0" w:lastRow="0" w:firstColumn="0" w:lastColumn="0" w:oddVBand="0" w:evenVBand="0" w:oddHBand="0" w:evenHBand="0" w:firstRowFirstColumn="0" w:firstRowLastColumn="0" w:lastRowFirstColumn="0" w:lastRowLastColumn="0"/>
              <w:rPr>
                <w:sz w:val="20"/>
                <w:szCs w:val="20"/>
              </w:rPr>
            </w:pPr>
            <w:r w:rsidRPr="00A375E8">
              <w:rPr>
                <w:sz w:val="20"/>
                <w:szCs w:val="20"/>
              </w:rPr>
              <w:t xml:space="preserve">The oyster model </w:t>
            </w:r>
            <w:r>
              <w:rPr>
                <w:sz w:val="20"/>
                <w:szCs w:val="20"/>
              </w:rPr>
              <w:t>has been</w:t>
            </w:r>
            <w:r w:rsidRPr="00A375E8">
              <w:rPr>
                <w:sz w:val="20"/>
                <w:szCs w:val="20"/>
              </w:rPr>
              <w:t xml:space="preserve"> revised as necessary to incorporate aquaculture operations and additional oyster biomass brought about by restoration activities including sanctuaries</w:t>
            </w:r>
            <w:r>
              <w:rPr>
                <w:sz w:val="20"/>
                <w:szCs w:val="20"/>
              </w:rPr>
              <w:t xml:space="preserve">. First part of oyster BMP panel completed and approved by the CBP partnership. </w:t>
            </w:r>
          </w:p>
        </w:tc>
        <w:tc>
          <w:tcPr>
            <w:tcW w:w="1530" w:type="dxa"/>
          </w:tcPr>
          <w:p w14:paraId="260DD04E" w14:textId="446EEF9C" w:rsidR="00A712A1" w:rsidRPr="00A375E8" w:rsidRDefault="00A375E8" w:rsidP="00A712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Complete second part of oyster BMP panel in the 2018 timeframe and update modeling tools as a result of this information. </w:t>
            </w:r>
          </w:p>
        </w:tc>
        <w:tc>
          <w:tcPr>
            <w:tcW w:w="1530" w:type="dxa"/>
          </w:tcPr>
          <w:p w14:paraId="7AFD0232" w14:textId="61EFB7E6" w:rsidR="00A712A1" w:rsidRPr="00A375E8" w:rsidRDefault="00A375E8" w:rsidP="00A712A1">
            <w:pPr>
              <w:cnfStyle w:val="000000000000" w:firstRow="0" w:lastRow="0" w:firstColumn="0" w:lastColumn="0" w:oddVBand="0" w:evenVBand="0" w:oddHBand="0" w:evenHBand="0" w:firstRowFirstColumn="0" w:firstRowLastColumn="0" w:lastRowFirstColumn="0" w:lastRowLastColumn="0"/>
              <w:rPr>
                <w:sz w:val="20"/>
                <w:szCs w:val="20"/>
              </w:rPr>
            </w:pPr>
            <w:r w:rsidRPr="00A375E8">
              <w:rPr>
                <w:sz w:val="20"/>
                <w:szCs w:val="20"/>
              </w:rPr>
              <w:t xml:space="preserve">Oyster model revisions completed and </w:t>
            </w:r>
            <w:r w:rsidRPr="00A375E8">
              <w:rPr>
                <w:b/>
                <w:sz w:val="20"/>
                <w:szCs w:val="20"/>
              </w:rPr>
              <w:t>oyster BMP panel work underway</w:t>
            </w:r>
            <w:r w:rsidRPr="00A375E8">
              <w:rPr>
                <w:sz w:val="20"/>
                <w:szCs w:val="20"/>
              </w:rPr>
              <w:t xml:space="preserve"> – anticipated completion is 2018. </w:t>
            </w:r>
          </w:p>
        </w:tc>
        <w:tc>
          <w:tcPr>
            <w:tcW w:w="2610" w:type="dxa"/>
            <w:shd w:val="clear" w:color="auto" w:fill="D9D9D9" w:themeFill="background1" w:themeFillShade="D9"/>
          </w:tcPr>
          <w:p w14:paraId="37695F48"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METRIC EXISTS.</w:t>
            </w:r>
          </w:p>
          <w:p w14:paraId="607916E2"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The Oyster Recovery Partnership’s</w:t>
            </w:r>
          </w:p>
          <w:p w14:paraId="574A2B67" w14:textId="206FD21E" w:rsidR="00A712A1"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2017 presentation on metrics and ways to measure progress of oysters as a BMP can be found here: </w:t>
            </w:r>
            <w:hyperlink r:id="rId18" w:history="1">
              <w:r w:rsidRPr="00E16B60">
                <w:rPr>
                  <w:rStyle w:val="Hyperlink"/>
                  <w:sz w:val="20"/>
                  <w:szCs w:val="20"/>
                </w:rPr>
                <w:t>https://www.chesapeakebay.net/channel_files/24983/oyster_bmp_panel_wqgit_update_5-8-17_final_(2).pdf</w:t>
              </w:r>
            </w:hyperlink>
          </w:p>
        </w:tc>
        <w:tc>
          <w:tcPr>
            <w:tcW w:w="3060" w:type="dxa"/>
            <w:shd w:val="clear" w:color="auto" w:fill="D9D9D9" w:themeFill="background1" w:themeFillShade="D9"/>
          </w:tcPr>
          <w:p w14:paraId="0DAB0FD5"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Oyster Recovery Partnership</w:t>
            </w:r>
          </w:p>
          <w:p w14:paraId="768B270E"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Further information is posted on ORP’s website:  </w:t>
            </w:r>
          </w:p>
          <w:p w14:paraId="53664BA1"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https://oysterrecovery.org/water-quality-improvement/</w:t>
            </w:r>
          </w:p>
          <w:p w14:paraId="536FF658" w14:textId="77777777" w:rsidR="00A712A1" w:rsidRPr="00E16B60"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4F017ECE"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the ORP’S Oyster Recovery Partnership</w:t>
            </w:r>
          </w:p>
          <w:p w14:paraId="076A978E" w14:textId="77777777" w:rsidR="00BA7E55" w:rsidRPr="00E16B60" w:rsidRDefault="00BA7E55" w:rsidP="00BA7E55">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2016 – 2021 Strategic Plan is available here: </w:t>
            </w:r>
            <w:hyperlink r:id="rId19" w:history="1">
              <w:r w:rsidRPr="00E16B60">
                <w:rPr>
                  <w:rStyle w:val="Hyperlink"/>
                  <w:sz w:val="20"/>
                  <w:szCs w:val="20"/>
                </w:rPr>
                <w:t>https://oysterrecovery.org/wp-content/uploads/2017/02/2016-2021-ORP-strategic-plan-web1-4.pdf</w:t>
              </w:r>
            </w:hyperlink>
          </w:p>
          <w:p w14:paraId="094A6557" w14:textId="77777777" w:rsidR="00A712A1" w:rsidRPr="00E16B60" w:rsidRDefault="00A712A1" w:rsidP="00A712A1">
            <w:pPr>
              <w:cnfStyle w:val="000000000000" w:firstRow="0" w:lastRow="0" w:firstColumn="0" w:lastColumn="0" w:oddVBand="0" w:evenVBand="0" w:oddHBand="0" w:evenHBand="0" w:firstRowFirstColumn="0" w:firstRowLastColumn="0" w:lastRowFirstColumn="0" w:lastRowLastColumn="0"/>
              <w:rPr>
                <w:sz w:val="20"/>
                <w:szCs w:val="20"/>
              </w:rPr>
            </w:pPr>
          </w:p>
        </w:tc>
      </w:tr>
      <w:tr w:rsidR="00906B72" w:rsidRPr="00DB3E82" w14:paraId="6C315818" w14:textId="77777777" w:rsidTr="005E1C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Pr>
          <w:p w14:paraId="5DBEAECD" w14:textId="505D454E" w:rsidR="00A712A1" w:rsidRPr="00E16B60" w:rsidRDefault="00A712A1" w:rsidP="00E16B60">
            <w:pPr>
              <w:pStyle w:val="ListParagraph"/>
              <w:numPr>
                <w:ilvl w:val="0"/>
                <w:numId w:val="12"/>
              </w:numPr>
              <w:rPr>
                <w:sz w:val="20"/>
                <w:szCs w:val="20"/>
              </w:rPr>
            </w:pPr>
            <w:r w:rsidRPr="00E16B60">
              <w:rPr>
                <w:rStyle w:val="Bold"/>
                <w:sz w:val="20"/>
                <w:szCs w:val="20"/>
              </w:rPr>
              <w:t xml:space="preserve">Examining the impact the lower Susquehanna dams have on the pollutant loads to the Bay, including </w:t>
            </w:r>
            <w:r w:rsidRPr="00E16B60">
              <w:rPr>
                <w:rStyle w:val="Bold"/>
                <w:sz w:val="20"/>
                <w:szCs w:val="20"/>
              </w:rPr>
              <w:lastRenderedPageBreak/>
              <w:t>changes over time</w:t>
            </w:r>
          </w:p>
        </w:tc>
        <w:tc>
          <w:tcPr>
            <w:tcW w:w="1530" w:type="dxa"/>
          </w:tcPr>
          <w:p w14:paraId="7744D0B3" w14:textId="1486D1D8" w:rsidR="00A712A1" w:rsidRPr="0094276D" w:rsidRDefault="00A375E8" w:rsidP="00A712A1">
            <w:pPr>
              <w:cnfStyle w:val="000000100000" w:firstRow="0" w:lastRow="0" w:firstColumn="0" w:lastColumn="0" w:oddVBand="0" w:evenVBand="0" w:oddHBand="1" w:evenHBand="0" w:firstRowFirstColumn="0" w:firstRowLastColumn="0" w:lastRowFirstColumn="0" w:lastRowLastColumn="0"/>
              <w:rPr>
                <w:sz w:val="20"/>
                <w:szCs w:val="20"/>
              </w:rPr>
            </w:pPr>
            <w:r w:rsidRPr="0094276D">
              <w:rPr>
                <w:sz w:val="20"/>
                <w:szCs w:val="20"/>
              </w:rPr>
              <w:lastRenderedPageBreak/>
              <w:t xml:space="preserve">Numerous studies have been completed </w:t>
            </w:r>
            <w:r w:rsidR="0094276D" w:rsidRPr="0094276D">
              <w:rPr>
                <w:sz w:val="20"/>
                <w:szCs w:val="20"/>
              </w:rPr>
              <w:t xml:space="preserve">to understand the trapping capacity behind dams, especially the </w:t>
            </w:r>
            <w:r w:rsidR="0094276D" w:rsidRPr="0094276D">
              <w:rPr>
                <w:sz w:val="20"/>
                <w:szCs w:val="20"/>
              </w:rPr>
              <w:lastRenderedPageBreak/>
              <w:t>Conowingo, as well as greater representation of local impoundments and reservoirs throughout the Phase 6 Watershed Model.</w:t>
            </w:r>
          </w:p>
        </w:tc>
        <w:tc>
          <w:tcPr>
            <w:tcW w:w="1530" w:type="dxa"/>
          </w:tcPr>
          <w:p w14:paraId="26076840" w14:textId="7DE06263" w:rsidR="00A712A1" w:rsidRPr="00A375E8" w:rsidRDefault="00A375E8" w:rsidP="00A712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Development of a Conowingo WIP and Planning Targets, as well as a financing strategy to fund implementation of the </w:t>
            </w:r>
            <w:r>
              <w:rPr>
                <w:sz w:val="20"/>
                <w:szCs w:val="20"/>
              </w:rPr>
              <w:lastRenderedPageBreak/>
              <w:t xml:space="preserve">Conowingo WIP and its associated two-year milestones over time. </w:t>
            </w:r>
            <w:r w:rsidR="000068D8">
              <w:rPr>
                <w:sz w:val="20"/>
                <w:szCs w:val="20"/>
              </w:rPr>
              <w:t>Also,</w:t>
            </w:r>
            <w:r>
              <w:rPr>
                <w:sz w:val="20"/>
                <w:szCs w:val="20"/>
              </w:rPr>
              <w:t xml:space="preserve"> development of a timeline for implementing the Conowingo WIP and achieving the Conowingo Planning Targets.</w:t>
            </w:r>
          </w:p>
        </w:tc>
        <w:tc>
          <w:tcPr>
            <w:tcW w:w="1530" w:type="dxa"/>
          </w:tcPr>
          <w:p w14:paraId="05373798" w14:textId="571CFD2E" w:rsidR="00A712A1" w:rsidRPr="00A375E8" w:rsidRDefault="00A375E8" w:rsidP="00A712A1">
            <w:pPr>
              <w:cnfStyle w:val="000000100000" w:firstRow="0" w:lastRow="0" w:firstColumn="0" w:lastColumn="0" w:oddVBand="0" w:evenVBand="0" w:oddHBand="1" w:evenHBand="0" w:firstRowFirstColumn="0" w:firstRowLastColumn="0" w:lastRowFirstColumn="0" w:lastRowLastColumn="0"/>
              <w:rPr>
                <w:sz w:val="20"/>
                <w:szCs w:val="20"/>
              </w:rPr>
            </w:pPr>
            <w:r w:rsidRPr="00A375E8">
              <w:rPr>
                <w:sz w:val="20"/>
                <w:szCs w:val="20"/>
              </w:rPr>
              <w:lastRenderedPageBreak/>
              <w:t>Development and implementation of a Conowingo WIP, two year milestones, and financing strateg</w:t>
            </w:r>
            <w:r w:rsidR="00B63394">
              <w:rPr>
                <w:sz w:val="20"/>
                <w:szCs w:val="20"/>
              </w:rPr>
              <w:t>y</w:t>
            </w:r>
            <w:r w:rsidRPr="00A375E8">
              <w:rPr>
                <w:sz w:val="20"/>
                <w:szCs w:val="20"/>
              </w:rPr>
              <w:t xml:space="preserve"> to achieve the </w:t>
            </w:r>
            <w:r w:rsidRPr="00A375E8">
              <w:rPr>
                <w:sz w:val="20"/>
                <w:szCs w:val="20"/>
              </w:rPr>
              <w:lastRenderedPageBreak/>
              <w:t xml:space="preserve">nutrient and sediment load reduction targets </w:t>
            </w:r>
            <w:r w:rsidR="000068D8" w:rsidRPr="00A375E8">
              <w:rPr>
                <w:sz w:val="20"/>
                <w:szCs w:val="20"/>
              </w:rPr>
              <w:t>because of</w:t>
            </w:r>
            <w:r w:rsidRPr="00A375E8">
              <w:rPr>
                <w:sz w:val="20"/>
                <w:szCs w:val="20"/>
              </w:rPr>
              <w:t xml:space="preserve"> Conowingo dam reaching its trapping capacity. </w:t>
            </w:r>
          </w:p>
        </w:tc>
        <w:tc>
          <w:tcPr>
            <w:tcW w:w="2610" w:type="dxa"/>
            <w:shd w:val="clear" w:color="auto" w:fill="D9D9D9" w:themeFill="background1" w:themeFillShade="D9"/>
          </w:tcPr>
          <w:p w14:paraId="325C7B9D" w14:textId="2F5C0F68" w:rsidR="00A712A1" w:rsidRPr="00DB3E8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lastRenderedPageBreak/>
              <w:t>Phase 6.0 Modeling and planning metrics are being developed and will be elaborated upon through the Conowingo WIP</w:t>
            </w:r>
          </w:p>
        </w:tc>
        <w:tc>
          <w:tcPr>
            <w:tcW w:w="3060" w:type="dxa"/>
            <w:shd w:val="clear" w:color="auto" w:fill="D9D9D9" w:themeFill="background1" w:themeFillShade="D9"/>
          </w:tcPr>
          <w:p w14:paraId="20FF151F" w14:textId="5B2F0C2D" w:rsidR="00A712A1" w:rsidRPr="00DB3E82" w:rsidRDefault="00BA7E55" w:rsidP="00A712A1">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This effort is ongoing by state and federal agencies in cooperation with several private and NGO partners. Partners have developed a draft Framework for the Conowingo Watershed Implementation Plan.</w:t>
            </w:r>
          </w:p>
        </w:tc>
        <w:tc>
          <w:tcPr>
            <w:tcW w:w="2245" w:type="dxa"/>
            <w:shd w:val="clear" w:color="auto" w:fill="D9D9D9" w:themeFill="background1" w:themeFillShade="D9"/>
          </w:tcPr>
          <w:p w14:paraId="74DA0CFE" w14:textId="77777777" w:rsidR="00A712A1" w:rsidRPr="00DB3E82" w:rsidRDefault="00A712A1" w:rsidP="00A712A1">
            <w:pPr>
              <w:cnfStyle w:val="000000100000" w:firstRow="0" w:lastRow="0" w:firstColumn="0" w:lastColumn="0" w:oddVBand="0" w:evenVBand="0" w:oddHBand="1" w:evenHBand="0" w:firstRowFirstColumn="0" w:firstRowLastColumn="0" w:lastRowFirstColumn="0" w:lastRowLastColumn="0"/>
              <w:rPr>
                <w:sz w:val="20"/>
                <w:szCs w:val="20"/>
              </w:rPr>
            </w:pPr>
          </w:p>
        </w:tc>
      </w:tr>
      <w:tr w:rsidR="00906B72" w:rsidRPr="00DB3E82" w14:paraId="08ACC0EE" w14:textId="77777777" w:rsidTr="005E1CD2">
        <w:trPr>
          <w:trHeight w:val="20"/>
        </w:trPr>
        <w:tc>
          <w:tcPr>
            <w:cnfStyle w:val="001000000000" w:firstRow="0" w:lastRow="0" w:firstColumn="1" w:lastColumn="0" w:oddVBand="0" w:evenVBand="0" w:oddHBand="0" w:evenHBand="0" w:firstRowFirstColumn="0" w:firstRowLastColumn="0" w:lastRowFirstColumn="0" w:lastRowLastColumn="0"/>
            <w:tcW w:w="1885" w:type="dxa"/>
          </w:tcPr>
          <w:p w14:paraId="0D9F9519" w14:textId="1EC31923" w:rsidR="001B2E52" w:rsidRPr="00E16B60" w:rsidRDefault="001B2E52" w:rsidP="00E16B60">
            <w:pPr>
              <w:pStyle w:val="ListParagraph"/>
              <w:numPr>
                <w:ilvl w:val="0"/>
                <w:numId w:val="12"/>
              </w:numPr>
              <w:rPr>
                <w:sz w:val="20"/>
                <w:szCs w:val="20"/>
              </w:rPr>
            </w:pPr>
            <w:r w:rsidRPr="00E16B60">
              <w:rPr>
                <w:rStyle w:val="Bold"/>
                <w:sz w:val="20"/>
                <w:szCs w:val="20"/>
              </w:rPr>
              <w:t>Conducting a detailed multi-year assessment of chlorophyll in the tidal James River using augmented monitoring and modeling approaches</w:t>
            </w:r>
          </w:p>
        </w:tc>
        <w:tc>
          <w:tcPr>
            <w:tcW w:w="1530" w:type="dxa"/>
          </w:tcPr>
          <w:p w14:paraId="3E27A312" w14:textId="61454F4A" w:rsidR="001B2E52" w:rsidRPr="00D2449C" w:rsidRDefault="001B2E52" w:rsidP="00A712A1">
            <w:pPr>
              <w:cnfStyle w:val="000000000000" w:firstRow="0" w:lastRow="0" w:firstColumn="0" w:lastColumn="0" w:oddVBand="0" w:evenVBand="0" w:oddHBand="0" w:evenHBand="0" w:firstRowFirstColumn="0" w:firstRowLastColumn="0" w:lastRowFirstColumn="0" w:lastRowLastColumn="0"/>
              <w:rPr>
                <w:sz w:val="20"/>
                <w:szCs w:val="20"/>
              </w:rPr>
            </w:pPr>
            <w:r w:rsidRPr="00D2449C">
              <w:rPr>
                <w:sz w:val="20"/>
                <w:szCs w:val="20"/>
              </w:rPr>
              <w:t>CBP partnership is working closely with the principal investigators of the James River chlorophyll-a criteria assessment to determine the criteria necessary to meet water quality standards in the James River.</w:t>
            </w:r>
          </w:p>
        </w:tc>
        <w:tc>
          <w:tcPr>
            <w:tcW w:w="1530" w:type="dxa"/>
          </w:tcPr>
          <w:p w14:paraId="11A7ABDB" w14:textId="5B30FDF3" w:rsidR="001B2E52" w:rsidRPr="006A6D4E" w:rsidRDefault="001B2E52" w:rsidP="006A6D4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Modeling and criteria and assessment alternatives analysis have delayed final rule making that will establish new Chlorophyll-a criteria for the James until late in 2018.</w:t>
            </w:r>
          </w:p>
        </w:tc>
        <w:tc>
          <w:tcPr>
            <w:tcW w:w="1530" w:type="dxa"/>
          </w:tcPr>
          <w:p w14:paraId="68789A84" w14:textId="018B2866" w:rsidR="001B2E52" w:rsidRDefault="001B2E52" w:rsidP="006A6D4E">
            <w:pPr>
              <w:cnfStyle w:val="000000000000" w:firstRow="0" w:lastRow="0" w:firstColumn="0" w:lastColumn="0" w:oddVBand="0" w:evenVBand="0" w:oddHBand="0" w:evenHBand="0" w:firstRowFirstColumn="0" w:firstRowLastColumn="0" w:lastRowFirstColumn="0" w:lastRowLastColumn="0"/>
            </w:pPr>
            <w:r w:rsidRPr="006A6D4E">
              <w:rPr>
                <w:sz w:val="20"/>
                <w:szCs w:val="20"/>
              </w:rPr>
              <w:t>Planning targets developed for the James River for dissolved oxygen only.  Any additional actions needed to meet new chlorophyll-criteria will be developed separate from the Phase 3 WIP planning process.</w:t>
            </w:r>
          </w:p>
        </w:tc>
        <w:tc>
          <w:tcPr>
            <w:tcW w:w="2610" w:type="dxa"/>
            <w:shd w:val="clear" w:color="auto" w:fill="D9D9D9" w:themeFill="background1" w:themeFillShade="D9"/>
          </w:tcPr>
          <w:p w14:paraId="75CCAF5D" w14:textId="77777777" w:rsidR="001B2E52" w:rsidRPr="00DB3E82" w:rsidRDefault="001B2E52" w:rsidP="00A712A1">
            <w:pPr>
              <w:cnfStyle w:val="000000000000" w:firstRow="0" w:lastRow="0" w:firstColumn="0" w:lastColumn="0" w:oddVBand="0" w:evenVBand="0" w:oddHBand="0" w:evenHBand="0" w:firstRowFirstColumn="0" w:firstRowLastColumn="0" w:lastRowFirstColumn="0" w:lastRowLastColumn="0"/>
              <w:rPr>
                <w:sz w:val="20"/>
                <w:szCs w:val="20"/>
              </w:rPr>
            </w:pPr>
          </w:p>
        </w:tc>
        <w:tc>
          <w:tcPr>
            <w:tcW w:w="3060" w:type="dxa"/>
            <w:shd w:val="clear" w:color="auto" w:fill="D9D9D9" w:themeFill="background1" w:themeFillShade="D9"/>
          </w:tcPr>
          <w:p w14:paraId="487074D3" w14:textId="77777777" w:rsidR="001B2E52" w:rsidRPr="00DB3E82" w:rsidRDefault="001B2E52" w:rsidP="00A712A1">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1D3EAE2D" w14:textId="77777777" w:rsidR="001B2E52" w:rsidRPr="00DB3E82" w:rsidRDefault="001B2E52" w:rsidP="00A712A1">
            <w:pPr>
              <w:cnfStyle w:val="000000000000" w:firstRow="0" w:lastRow="0" w:firstColumn="0" w:lastColumn="0" w:oddVBand="0" w:evenVBand="0" w:oddHBand="0" w:evenHBand="0" w:firstRowFirstColumn="0" w:firstRowLastColumn="0" w:lastRowFirstColumn="0" w:lastRowLastColumn="0"/>
              <w:rPr>
                <w:sz w:val="20"/>
                <w:szCs w:val="20"/>
              </w:rPr>
            </w:pPr>
          </w:p>
        </w:tc>
      </w:tr>
    </w:tbl>
    <w:p w14:paraId="2924F5A5" w14:textId="43742CE3"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74E"/>
    <w:multiLevelType w:val="hybridMultilevel"/>
    <w:tmpl w:val="1C600DB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20858"/>
    <w:multiLevelType w:val="hybridMultilevel"/>
    <w:tmpl w:val="AF70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3"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4"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5"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6"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0010B"/>
    <w:multiLevelType w:val="hybridMultilevel"/>
    <w:tmpl w:val="4C4A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E7586"/>
    <w:multiLevelType w:val="hybridMultilevel"/>
    <w:tmpl w:val="B896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0"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12" w15:restartNumberingAfterBreak="0">
    <w:nsid w:val="6F665ED2"/>
    <w:multiLevelType w:val="hybridMultilevel"/>
    <w:tmpl w:val="F400278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9"/>
  </w:num>
  <w:num w:numId="6">
    <w:abstractNumId w:val="3"/>
  </w:num>
  <w:num w:numId="7">
    <w:abstractNumId w:val="6"/>
  </w:num>
  <w:num w:numId="8">
    <w:abstractNumId w:val="10"/>
  </w:num>
  <w:num w:numId="9">
    <w:abstractNumId w:val="12"/>
  </w:num>
  <w:num w:numId="10">
    <w:abstractNumId w:val="1"/>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068D8"/>
    <w:rsid w:val="00033E6F"/>
    <w:rsid w:val="00042D9E"/>
    <w:rsid w:val="0007599B"/>
    <w:rsid w:val="00080D17"/>
    <w:rsid w:val="00085B4E"/>
    <w:rsid w:val="00087575"/>
    <w:rsid w:val="000D4FC2"/>
    <w:rsid w:val="00100E64"/>
    <w:rsid w:val="00101478"/>
    <w:rsid w:val="001056DC"/>
    <w:rsid w:val="001644FD"/>
    <w:rsid w:val="00165A52"/>
    <w:rsid w:val="001B2E52"/>
    <w:rsid w:val="001B3D02"/>
    <w:rsid w:val="001C0000"/>
    <w:rsid w:val="001D6F68"/>
    <w:rsid w:val="001E6A98"/>
    <w:rsid w:val="001F3946"/>
    <w:rsid w:val="0021394C"/>
    <w:rsid w:val="00231746"/>
    <w:rsid w:val="00243F99"/>
    <w:rsid w:val="002520E2"/>
    <w:rsid w:val="002648D5"/>
    <w:rsid w:val="002827DD"/>
    <w:rsid w:val="002A523B"/>
    <w:rsid w:val="002B2621"/>
    <w:rsid w:val="002B2FA1"/>
    <w:rsid w:val="002D25C5"/>
    <w:rsid w:val="002D26A9"/>
    <w:rsid w:val="002E66EA"/>
    <w:rsid w:val="002F1473"/>
    <w:rsid w:val="00302BF4"/>
    <w:rsid w:val="003037DF"/>
    <w:rsid w:val="003124B3"/>
    <w:rsid w:val="00335885"/>
    <w:rsid w:val="003560B2"/>
    <w:rsid w:val="003751A7"/>
    <w:rsid w:val="0039449C"/>
    <w:rsid w:val="003B1321"/>
    <w:rsid w:val="003B2370"/>
    <w:rsid w:val="0041165E"/>
    <w:rsid w:val="00416BA1"/>
    <w:rsid w:val="00454CD6"/>
    <w:rsid w:val="00463345"/>
    <w:rsid w:val="00463F09"/>
    <w:rsid w:val="0047766E"/>
    <w:rsid w:val="00483806"/>
    <w:rsid w:val="004A3FEE"/>
    <w:rsid w:val="004A7685"/>
    <w:rsid w:val="004C168C"/>
    <w:rsid w:val="004D30EC"/>
    <w:rsid w:val="004D5479"/>
    <w:rsid w:val="004F0644"/>
    <w:rsid w:val="004F5A20"/>
    <w:rsid w:val="004F7EC2"/>
    <w:rsid w:val="00547FAB"/>
    <w:rsid w:val="00560502"/>
    <w:rsid w:val="00560F13"/>
    <w:rsid w:val="00561537"/>
    <w:rsid w:val="005726AF"/>
    <w:rsid w:val="005A2B40"/>
    <w:rsid w:val="005A4FE6"/>
    <w:rsid w:val="005B2384"/>
    <w:rsid w:val="005E1CD2"/>
    <w:rsid w:val="00605D6F"/>
    <w:rsid w:val="00630FB5"/>
    <w:rsid w:val="00650090"/>
    <w:rsid w:val="00653E0D"/>
    <w:rsid w:val="006577CA"/>
    <w:rsid w:val="006775D9"/>
    <w:rsid w:val="006A29AE"/>
    <w:rsid w:val="006A6D4E"/>
    <w:rsid w:val="006A7D84"/>
    <w:rsid w:val="006B0C5E"/>
    <w:rsid w:val="006C112C"/>
    <w:rsid w:val="006D63DC"/>
    <w:rsid w:val="00717220"/>
    <w:rsid w:val="00730200"/>
    <w:rsid w:val="00783037"/>
    <w:rsid w:val="007A0BBB"/>
    <w:rsid w:val="007C5A0F"/>
    <w:rsid w:val="007E2C2E"/>
    <w:rsid w:val="00807ADB"/>
    <w:rsid w:val="00821122"/>
    <w:rsid w:val="00852557"/>
    <w:rsid w:val="00855689"/>
    <w:rsid w:val="00876541"/>
    <w:rsid w:val="008A7A49"/>
    <w:rsid w:val="008B5C38"/>
    <w:rsid w:val="008F188D"/>
    <w:rsid w:val="00906B72"/>
    <w:rsid w:val="0091201E"/>
    <w:rsid w:val="00916EA5"/>
    <w:rsid w:val="00925DE8"/>
    <w:rsid w:val="00934D05"/>
    <w:rsid w:val="00940845"/>
    <w:rsid w:val="0094267B"/>
    <w:rsid w:val="0094276D"/>
    <w:rsid w:val="009521C9"/>
    <w:rsid w:val="00966C18"/>
    <w:rsid w:val="009947C7"/>
    <w:rsid w:val="009B25D4"/>
    <w:rsid w:val="009B338F"/>
    <w:rsid w:val="009D2A03"/>
    <w:rsid w:val="009E18C9"/>
    <w:rsid w:val="00A02A84"/>
    <w:rsid w:val="00A32B3E"/>
    <w:rsid w:val="00A32E0C"/>
    <w:rsid w:val="00A375E8"/>
    <w:rsid w:val="00A526FC"/>
    <w:rsid w:val="00A57C0A"/>
    <w:rsid w:val="00A6385A"/>
    <w:rsid w:val="00A712A1"/>
    <w:rsid w:val="00A8145F"/>
    <w:rsid w:val="00AA362D"/>
    <w:rsid w:val="00AB7586"/>
    <w:rsid w:val="00AD4C0D"/>
    <w:rsid w:val="00AE133D"/>
    <w:rsid w:val="00AE3C79"/>
    <w:rsid w:val="00AF4205"/>
    <w:rsid w:val="00B00B12"/>
    <w:rsid w:val="00B1086D"/>
    <w:rsid w:val="00B324B5"/>
    <w:rsid w:val="00B33615"/>
    <w:rsid w:val="00B37EB2"/>
    <w:rsid w:val="00B56446"/>
    <w:rsid w:val="00B63394"/>
    <w:rsid w:val="00B67FBE"/>
    <w:rsid w:val="00B77F72"/>
    <w:rsid w:val="00BA7E55"/>
    <w:rsid w:val="00BB4BF4"/>
    <w:rsid w:val="00BD19FB"/>
    <w:rsid w:val="00BD52B0"/>
    <w:rsid w:val="00BF0356"/>
    <w:rsid w:val="00BF3A50"/>
    <w:rsid w:val="00C154A6"/>
    <w:rsid w:val="00C3397F"/>
    <w:rsid w:val="00C551D9"/>
    <w:rsid w:val="00C624A1"/>
    <w:rsid w:val="00D174EB"/>
    <w:rsid w:val="00D2238B"/>
    <w:rsid w:val="00D2449C"/>
    <w:rsid w:val="00D3419F"/>
    <w:rsid w:val="00D42EAC"/>
    <w:rsid w:val="00D467A0"/>
    <w:rsid w:val="00D52F61"/>
    <w:rsid w:val="00D55CB4"/>
    <w:rsid w:val="00D902E1"/>
    <w:rsid w:val="00D93449"/>
    <w:rsid w:val="00DA59B5"/>
    <w:rsid w:val="00DB3E82"/>
    <w:rsid w:val="00DC7A43"/>
    <w:rsid w:val="00DD3A1E"/>
    <w:rsid w:val="00E05E3C"/>
    <w:rsid w:val="00E16B60"/>
    <w:rsid w:val="00E251FA"/>
    <w:rsid w:val="00E32BA6"/>
    <w:rsid w:val="00E3404C"/>
    <w:rsid w:val="00E46ADD"/>
    <w:rsid w:val="00E81C93"/>
    <w:rsid w:val="00E87BE7"/>
    <w:rsid w:val="00E90187"/>
    <w:rsid w:val="00E959B7"/>
    <w:rsid w:val="00EA7039"/>
    <w:rsid w:val="00ED01B1"/>
    <w:rsid w:val="00ED19E2"/>
    <w:rsid w:val="00EF6086"/>
    <w:rsid w:val="00F17AE1"/>
    <w:rsid w:val="00F4123D"/>
    <w:rsid w:val="00F828F5"/>
    <w:rsid w:val="00F86A9E"/>
    <w:rsid w:val="00FA4265"/>
    <w:rsid w:val="00FA6BB5"/>
    <w:rsid w:val="00FB5AF0"/>
    <w:rsid w:val="00FC76E0"/>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docId w15:val="{5E43E285-70FB-4A86-AAA5-EBA4AC67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character" w:customStyle="1" w:styleId="Bold">
    <w:name w:val="Bold"/>
    <w:basedOn w:val="DefaultParagraphFont"/>
    <w:uiPriority w:val="1"/>
    <w:qFormat/>
    <w:rsid w:val="00FA6BB5"/>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ews.maryland.gov/mda/press-release/2017/04/20/21170/" TargetMode="External"/><Relationship Id="rId18" Type="http://schemas.openxmlformats.org/officeDocument/2006/relationships/hyperlink" Target="https://www.chesapeakebay.net/channel_files/24983/oyster_bmp_panel_wqgit_update_5-8-17_final_(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17" Type="http://schemas.openxmlformats.org/officeDocument/2006/relationships/hyperlink" Target="http://mde.maryland.gov/programs/Marylander/Pages/conowingo_pilot.aspx" TargetMode="External"/><Relationship Id="rId2" Type="http://schemas.openxmlformats.org/officeDocument/2006/relationships/customXml" Target="../customXml/item2.xml"/><Relationship Id="rId16" Type="http://schemas.openxmlformats.org/officeDocument/2006/relationships/hyperlink" Target="http://data.imap.maryland.gov/datasets/maryland-priority-funding-areas?geometry=-80.963%2C38.435%2C-72.036%2C39.9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5" Type="http://schemas.openxmlformats.org/officeDocument/2006/relationships/hyperlink" Target="http://dnr.maryland.gov/ccs/Pages/funding/trust-fund.aspx" TargetMode="External"/><Relationship Id="rId10" Type="http://schemas.openxmlformats.org/officeDocument/2006/relationships/hyperlink" Target="mailto:free.laura@epa.gov" TargetMode="External"/><Relationship Id="rId19" Type="http://schemas.openxmlformats.org/officeDocument/2006/relationships/hyperlink" Target="https://oysterrecovery.org/wp-content/uploads/2017/02/2016-2021-ORP-strategic-plan-web1-4.pdf"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hyperlink" Target="http://mde.maryland.gov/programs/water/WQFA/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2.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41640-2A99-4FFD-84B4-57466BAF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Abowd, Laurel</dc:creator>
  <cp:lastModifiedBy>Power, Lucinda</cp:lastModifiedBy>
  <cp:revision>5</cp:revision>
  <cp:lastPrinted>2018-04-19T16:03:00Z</cp:lastPrinted>
  <dcterms:created xsi:type="dcterms:W3CDTF">2018-04-25T19:25:00Z</dcterms:created>
  <dcterms:modified xsi:type="dcterms:W3CDTF">2018-04-25T19:37:00Z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