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886" w:rsidRDefault="00A23F98" w:rsidP="00962886">
      <w:pPr>
        <w:jc w:val="center"/>
        <w:rPr>
          <w:b/>
        </w:rPr>
      </w:pPr>
      <w:r w:rsidRPr="00A23F98">
        <w:rPr>
          <w:b/>
        </w:rPr>
        <w:t xml:space="preserve">Summary of </w:t>
      </w:r>
      <w:r w:rsidR="00902F25">
        <w:rPr>
          <w:b/>
        </w:rPr>
        <w:t xml:space="preserve">Major </w:t>
      </w:r>
      <w:r w:rsidRPr="00A23F98">
        <w:rPr>
          <w:b/>
        </w:rPr>
        <w:t>Comments</w:t>
      </w:r>
      <w:r>
        <w:rPr>
          <w:b/>
        </w:rPr>
        <w:t xml:space="preserve"> </w:t>
      </w:r>
      <w:r w:rsidR="00962886">
        <w:rPr>
          <w:b/>
        </w:rPr>
        <w:t xml:space="preserve">made on Governance Document </w:t>
      </w:r>
    </w:p>
    <w:tbl>
      <w:tblPr>
        <w:tblStyle w:val="TableGrid"/>
        <w:tblW w:w="0" w:type="auto"/>
        <w:tblLook w:val="04A0"/>
      </w:tblPr>
      <w:tblGrid>
        <w:gridCol w:w="2628"/>
        <w:gridCol w:w="7560"/>
        <w:gridCol w:w="2970"/>
      </w:tblGrid>
      <w:tr w:rsidR="00A23F98" w:rsidTr="00867757">
        <w:tc>
          <w:tcPr>
            <w:tcW w:w="26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23F98" w:rsidRDefault="00A23F98" w:rsidP="00147822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23F98" w:rsidRDefault="00A23F98" w:rsidP="00147822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23F98" w:rsidRDefault="00B8727F" w:rsidP="00147822">
            <w:pPr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</w:tr>
      <w:tr w:rsidR="006507B0" w:rsidTr="00867757">
        <w:trPr>
          <w:trHeight w:val="270"/>
        </w:trPr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6507B0" w:rsidRPr="001209C1" w:rsidRDefault="006507B0" w:rsidP="001209C1">
            <w:r w:rsidRPr="00A53C08">
              <w:rPr>
                <w:b/>
              </w:rPr>
              <w:t>GIT 1</w:t>
            </w:r>
            <w:r>
              <w:t xml:space="preserve"> (Peyton Robertson, Bruce Vogt, and Emilie Franke)</w:t>
            </w:r>
          </w:p>
        </w:tc>
        <w:tc>
          <w:tcPr>
            <w:tcW w:w="7560" w:type="dxa"/>
            <w:tcBorders>
              <w:top w:val="single" w:sz="4" w:space="0" w:color="auto"/>
            </w:tcBorders>
          </w:tcPr>
          <w:p w:rsidR="006507B0" w:rsidRPr="002D2E2B" w:rsidRDefault="006507B0" w:rsidP="00B8727F">
            <w:r>
              <w:t xml:space="preserve">• Remove CBP History section (first 4 pages) to focus on current governance information.  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:rsidR="006507B0" w:rsidRPr="00B8727F" w:rsidRDefault="006507B0">
            <w:r w:rsidRPr="00B8727F">
              <w:t>pp. 2-5</w:t>
            </w:r>
          </w:p>
        </w:tc>
      </w:tr>
      <w:tr w:rsidR="006507B0" w:rsidTr="00867757">
        <w:trPr>
          <w:trHeight w:val="270"/>
        </w:trPr>
        <w:tc>
          <w:tcPr>
            <w:tcW w:w="2628" w:type="dxa"/>
            <w:vMerge/>
          </w:tcPr>
          <w:p w:rsidR="006507B0" w:rsidRDefault="006507B0" w:rsidP="001209C1"/>
        </w:tc>
        <w:tc>
          <w:tcPr>
            <w:tcW w:w="7560" w:type="dxa"/>
            <w:tcBorders>
              <w:top w:val="single" w:sz="4" w:space="0" w:color="auto"/>
            </w:tcBorders>
          </w:tcPr>
          <w:p w:rsidR="006507B0" w:rsidRPr="002D2E2B" w:rsidRDefault="006507B0" w:rsidP="00B8727F">
            <w:r>
              <w:t xml:space="preserve">• Headwater states must be considered signatory principals. </w:t>
            </w:r>
          </w:p>
        </w:tc>
        <w:tc>
          <w:tcPr>
            <w:tcW w:w="2970" w:type="dxa"/>
          </w:tcPr>
          <w:p w:rsidR="006507B0" w:rsidRPr="00B8727F" w:rsidRDefault="006507B0">
            <w:r w:rsidRPr="00B8727F">
              <w:t>p.7, EC Operations, Attendance at Annual Meetings</w:t>
            </w:r>
          </w:p>
        </w:tc>
      </w:tr>
      <w:tr w:rsidR="006507B0" w:rsidTr="00867757">
        <w:trPr>
          <w:trHeight w:val="270"/>
        </w:trPr>
        <w:tc>
          <w:tcPr>
            <w:tcW w:w="2628" w:type="dxa"/>
            <w:vMerge/>
          </w:tcPr>
          <w:p w:rsidR="006507B0" w:rsidRDefault="006507B0" w:rsidP="001209C1"/>
        </w:tc>
        <w:tc>
          <w:tcPr>
            <w:tcW w:w="7560" w:type="dxa"/>
            <w:tcBorders>
              <w:top w:val="single" w:sz="4" w:space="0" w:color="auto"/>
            </w:tcBorders>
          </w:tcPr>
          <w:p w:rsidR="006507B0" w:rsidRPr="002D2E2B" w:rsidRDefault="006507B0" w:rsidP="00B8727F">
            <w:r>
              <w:t xml:space="preserve">• Need for clarity on MB’s authority to dissolve GITs and Action Teams.  </w:t>
            </w:r>
          </w:p>
        </w:tc>
        <w:tc>
          <w:tcPr>
            <w:tcW w:w="2970" w:type="dxa"/>
          </w:tcPr>
          <w:p w:rsidR="006507B0" w:rsidRPr="00B8727F" w:rsidRDefault="006507B0">
            <w:r w:rsidRPr="00B8727F">
              <w:t>p. 9, MB Roles and Responsibilities</w:t>
            </w:r>
          </w:p>
        </w:tc>
      </w:tr>
      <w:tr w:rsidR="006507B0" w:rsidTr="00867757">
        <w:trPr>
          <w:trHeight w:val="270"/>
        </w:trPr>
        <w:tc>
          <w:tcPr>
            <w:tcW w:w="2628" w:type="dxa"/>
            <w:vMerge/>
          </w:tcPr>
          <w:p w:rsidR="006507B0" w:rsidRDefault="006507B0" w:rsidP="001209C1"/>
        </w:tc>
        <w:tc>
          <w:tcPr>
            <w:tcW w:w="7560" w:type="dxa"/>
            <w:tcBorders>
              <w:top w:val="single" w:sz="4" w:space="0" w:color="auto"/>
            </w:tcBorders>
          </w:tcPr>
          <w:p w:rsidR="006507B0" w:rsidRDefault="006507B0" w:rsidP="00B8727F">
            <w:r>
              <w:t>• Specify MB’s role in aligning Partnership resources with strategic priorities.</w:t>
            </w:r>
          </w:p>
        </w:tc>
        <w:tc>
          <w:tcPr>
            <w:tcW w:w="2970" w:type="dxa"/>
          </w:tcPr>
          <w:p w:rsidR="006507B0" w:rsidRPr="00B8727F" w:rsidRDefault="006507B0">
            <w:r>
              <w:t>p.9, MB Roles and Responsibilities</w:t>
            </w:r>
          </w:p>
        </w:tc>
      </w:tr>
      <w:tr w:rsidR="006507B0" w:rsidTr="00867757">
        <w:trPr>
          <w:trHeight w:val="270"/>
        </w:trPr>
        <w:tc>
          <w:tcPr>
            <w:tcW w:w="2628" w:type="dxa"/>
            <w:vMerge/>
          </w:tcPr>
          <w:p w:rsidR="006507B0" w:rsidRDefault="006507B0" w:rsidP="001209C1"/>
        </w:tc>
        <w:tc>
          <w:tcPr>
            <w:tcW w:w="7560" w:type="dxa"/>
            <w:tcBorders>
              <w:top w:val="single" w:sz="4" w:space="0" w:color="auto"/>
            </w:tcBorders>
          </w:tcPr>
          <w:p w:rsidR="006507B0" w:rsidRPr="006507B0" w:rsidRDefault="006507B0" w:rsidP="006507B0">
            <w:r w:rsidRPr="006507B0">
              <w:t xml:space="preserve">• Add an addendum on the process of Federal MB members acting as a delegation if a supermajority vote is required in MB decision-making. </w:t>
            </w:r>
          </w:p>
        </w:tc>
        <w:tc>
          <w:tcPr>
            <w:tcW w:w="2970" w:type="dxa"/>
          </w:tcPr>
          <w:p w:rsidR="006507B0" w:rsidRPr="006507B0" w:rsidRDefault="006507B0">
            <w:r w:rsidRPr="006507B0">
              <w:t>p. 10, MB Operations</w:t>
            </w:r>
          </w:p>
        </w:tc>
      </w:tr>
      <w:tr w:rsidR="006507B0" w:rsidTr="00867757">
        <w:trPr>
          <w:trHeight w:val="108"/>
        </w:trPr>
        <w:tc>
          <w:tcPr>
            <w:tcW w:w="2628" w:type="dxa"/>
            <w:vMerge/>
          </w:tcPr>
          <w:p w:rsidR="006507B0" w:rsidRDefault="006507B0" w:rsidP="001209C1"/>
        </w:tc>
        <w:tc>
          <w:tcPr>
            <w:tcW w:w="7560" w:type="dxa"/>
            <w:tcBorders>
              <w:top w:val="single" w:sz="4" w:space="0" w:color="auto"/>
            </w:tcBorders>
          </w:tcPr>
          <w:p w:rsidR="006507B0" w:rsidRPr="002D2E2B" w:rsidRDefault="006507B0" w:rsidP="006507B0">
            <w:r>
              <w:t xml:space="preserve">• STAR and </w:t>
            </w:r>
            <w:proofErr w:type="spellStart"/>
            <w:r>
              <w:t>Comm</w:t>
            </w:r>
            <w:proofErr w:type="spellEnd"/>
            <w:r>
              <w:t xml:space="preserve"> Workgroup should not be considered the same as GITs for the purpose of this document. </w:t>
            </w:r>
          </w:p>
        </w:tc>
        <w:tc>
          <w:tcPr>
            <w:tcW w:w="2970" w:type="dxa"/>
          </w:tcPr>
          <w:p w:rsidR="006507B0" w:rsidRPr="006507B0" w:rsidRDefault="006507B0">
            <w:r w:rsidRPr="006507B0">
              <w:t>p. 11, GITs</w:t>
            </w:r>
          </w:p>
        </w:tc>
      </w:tr>
      <w:tr w:rsidR="006507B0" w:rsidTr="00867757">
        <w:trPr>
          <w:trHeight w:val="108"/>
        </w:trPr>
        <w:tc>
          <w:tcPr>
            <w:tcW w:w="2628" w:type="dxa"/>
            <w:vMerge/>
          </w:tcPr>
          <w:p w:rsidR="006507B0" w:rsidRDefault="006507B0" w:rsidP="001209C1"/>
        </w:tc>
        <w:tc>
          <w:tcPr>
            <w:tcW w:w="7560" w:type="dxa"/>
            <w:tcBorders>
              <w:top w:val="single" w:sz="4" w:space="0" w:color="auto"/>
            </w:tcBorders>
          </w:tcPr>
          <w:p w:rsidR="006507B0" w:rsidRDefault="006507B0" w:rsidP="006507B0">
            <w:r>
              <w:t xml:space="preserve">• Reword GITs’ roles and responsibilities so they don’t match MB roles and responsibilities.  </w:t>
            </w:r>
          </w:p>
        </w:tc>
        <w:tc>
          <w:tcPr>
            <w:tcW w:w="2970" w:type="dxa"/>
          </w:tcPr>
          <w:p w:rsidR="006507B0" w:rsidRPr="006507B0" w:rsidRDefault="006507B0">
            <w:r w:rsidRPr="006507B0">
              <w:t>p. 11 GITs Roles and Responsibilities</w:t>
            </w:r>
          </w:p>
        </w:tc>
      </w:tr>
      <w:tr w:rsidR="006507B0" w:rsidTr="00867757">
        <w:trPr>
          <w:trHeight w:val="108"/>
        </w:trPr>
        <w:tc>
          <w:tcPr>
            <w:tcW w:w="2628" w:type="dxa"/>
            <w:vMerge/>
          </w:tcPr>
          <w:p w:rsidR="006507B0" w:rsidRDefault="006507B0" w:rsidP="001209C1"/>
        </w:tc>
        <w:tc>
          <w:tcPr>
            <w:tcW w:w="7560" w:type="dxa"/>
            <w:tcBorders>
              <w:top w:val="single" w:sz="4" w:space="0" w:color="auto"/>
            </w:tcBorders>
          </w:tcPr>
          <w:p w:rsidR="006507B0" w:rsidRDefault="006507B0" w:rsidP="00F341E0">
            <w:r>
              <w:t>• Include an option GIT leaders to serve consecutive terms, and clarify how new GIT leaders will be chosen.</w:t>
            </w:r>
          </w:p>
        </w:tc>
        <w:tc>
          <w:tcPr>
            <w:tcW w:w="2970" w:type="dxa"/>
          </w:tcPr>
          <w:p w:rsidR="006507B0" w:rsidRPr="006507B0" w:rsidRDefault="006507B0">
            <w:r w:rsidRPr="006507B0">
              <w:t>p.12, GITs Leadership and Membership</w:t>
            </w:r>
          </w:p>
        </w:tc>
      </w:tr>
      <w:tr w:rsidR="006507B0" w:rsidTr="00867757">
        <w:trPr>
          <w:trHeight w:val="108"/>
        </w:trPr>
        <w:tc>
          <w:tcPr>
            <w:tcW w:w="2628" w:type="dxa"/>
            <w:vMerge/>
          </w:tcPr>
          <w:p w:rsidR="006507B0" w:rsidRDefault="006507B0" w:rsidP="001209C1"/>
        </w:tc>
        <w:tc>
          <w:tcPr>
            <w:tcW w:w="7560" w:type="dxa"/>
            <w:tcBorders>
              <w:top w:val="single" w:sz="4" w:space="0" w:color="auto"/>
            </w:tcBorders>
          </w:tcPr>
          <w:p w:rsidR="006507B0" w:rsidRDefault="006507B0" w:rsidP="006507B0">
            <w:r>
              <w:t xml:space="preserve">• Reference or include GITs charters that are used to govern their own operations.  </w:t>
            </w:r>
          </w:p>
        </w:tc>
        <w:tc>
          <w:tcPr>
            <w:tcW w:w="2970" w:type="dxa"/>
          </w:tcPr>
          <w:p w:rsidR="006507B0" w:rsidRPr="006507B0" w:rsidRDefault="006507B0">
            <w:r w:rsidRPr="006507B0">
              <w:t>p. 12 GIT Operations</w:t>
            </w:r>
          </w:p>
        </w:tc>
      </w:tr>
      <w:tr w:rsidR="00526383" w:rsidTr="00867757">
        <w:trPr>
          <w:trHeight w:val="108"/>
        </w:trPr>
        <w:tc>
          <w:tcPr>
            <w:tcW w:w="2628" w:type="dxa"/>
            <w:vMerge w:val="restart"/>
          </w:tcPr>
          <w:p w:rsidR="00526383" w:rsidRDefault="00526383" w:rsidP="00670E3F">
            <w:r w:rsidRPr="00A53C08">
              <w:rPr>
                <w:b/>
              </w:rPr>
              <w:t>GIT 2</w:t>
            </w:r>
            <w:r>
              <w:t xml:space="preserve"> (Mike Slattery)</w:t>
            </w:r>
          </w:p>
        </w:tc>
        <w:tc>
          <w:tcPr>
            <w:tcW w:w="7560" w:type="dxa"/>
          </w:tcPr>
          <w:p w:rsidR="00526383" w:rsidRPr="002D2E2B" w:rsidRDefault="00526383" w:rsidP="00526383">
            <w:r>
              <w:t xml:space="preserve">• Remove CBP History, in particular the TMDL background section. </w:t>
            </w:r>
          </w:p>
        </w:tc>
        <w:tc>
          <w:tcPr>
            <w:tcW w:w="2970" w:type="dxa"/>
          </w:tcPr>
          <w:p w:rsidR="00526383" w:rsidRPr="00526383" w:rsidRDefault="00526383">
            <w:r w:rsidRPr="00526383">
              <w:t>pp. 3-5</w:t>
            </w:r>
          </w:p>
        </w:tc>
      </w:tr>
      <w:tr w:rsidR="00526383" w:rsidTr="00867757">
        <w:trPr>
          <w:trHeight w:val="54"/>
        </w:trPr>
        <w:tc>
          <w:tcPr>
            <w:tcW w:w="2628" w:type="dxa"/>
            <w:vMerge/>
          </w:tcPr>
          <w:p w:rsidR="00526383" w:rsidRDefault="00526383" w:rsidP="00670E3F"/>
        </w:tc>
        <w:tc>
          <w:tcPr>
            <w:tcW w:w="7560" w:type="dxa"/>
          </w:tcPr>
          <w:p w:rsidR="00526383" w:rsidRPr="002D2E2B" w:rsidRDefault="00526383" w:rsidP="00526383">
            <w:r>
              <w:t xml:space="preserve">• Include a brief description of CBP Partnership values prior to a description of program structure and operations.  </w:t>
            </w:r>
          </w:p>
        </w:tc>
        <w:tc>
          <w:tcPr>
            <w:tcW w:w="2970" w:type="dxa"/>
          </w:tcPr>
          <w:p w:rsidR="00526383" w:rsidRPr="00526383" w:rsidRDefault="00526383">
            <w:r w:rsidRPr="00526383">
              <w:t>p. 5</w:t>
            </w:r>
          </w:p>
        </w:tc>
      </w:tr>
      <w:tr w:rsidR="00526383" w:rsidTr="00867757">
        <w:trPr>
          <w:trHeight w:val="54"/>
        </w:trPr>
        <w:tc>
          <w:tcPr>
            <w:tcW w:w="2628" w:type="dxa"/>
            <w:vMerge/>
          </w:tcPr>
          <w:p w:rsidR="00526383" w:rsidRDefault="00526383" w:rsidP="00670E3F"/>
        </w:tc>
        <w:tc>
          <w:tcPr>
            <w:tcW w:w="7560" w:type="dxa"/>
          </w:tcPr>
          <w:p w:rsidR="00526383" w:rsidRDefault="00526383" w:rsidP="00526383">
            <w:r>
              <w:t>• Headwater states must be considered signatory principals.</w:t>
            </w:r>
          </w:p>
        </w:tc>
        <w:tc>
          <w:tcPr>
            <w:tcW w:w="2970" w:type="dxa"/>
          </w:tcPr>
          <w:p w:rsidR="00526383" w:rsidRPr="00526383" w:rsidRDefault="00526383">
            <w:r w:rsidRPr="00B8727F">
              <w:t>p.7, EC Operations, Attendance at Annual Meetings</w:t>
            </w:r>
          </w:p>
        </w:tc>
      </w:tr>
      <w:tr w:rsidR="00526383" w:rsidTr="00867757">
        <w:trPr>
          <w:trHeight w:val="54"/>
        </w:trPr>
        <w:tc>
          <w:tcPr>
            <w:tcW w:w="2628" w:type="dxa"/>
            <w:vMerge/>
          </w:tcPr>
          <w:p w:rsidR="00526383" w:rsidRDefault="00526383" w:rsidP="00670E3F"/>
        </w:tc>
        <w:tc>
          <w:tcPr>
            <w:tcW w:w="7560" w:type="dxa"/>
          </w:tcPr>
          <w:p w:rsidR="00526383" w:rsidRPr="002D2E2B" w:rsidRDefault="00526383" w:rsidP="00526383">
            <w:r>
              <w:t xml:space="preserve">• Comments on frequency, budget, and support for EC meetings. </w:t>
            </w:r>
          </w:p>
        </w:tc>
        <w:tc>
          <w:tcPr>
            <w:tcW w:w="2970" w:type="dxa"/>
          </w:tcPr>
          <w:p w:rsidR="00526383" w:rsidRPr="00526383" w:rsidRDefault="00526383">
            <w:r w:rsidRPr="00526383">
              <w:t>p. 7, EC Operations</w:t>
            </w:r>
          </w:p>
        </w:tc>
      </w:tr>
      <w:tr w:rsidR="00526383" w:rsidTr="00867757">
        <w:trPr>
          <w:trHeight w:val="54"/>
        </w:trPr>
        <w:tc>
          <w:tcPr>
            <w:tcW w:w="2628" w:type="dxa"/>
            <w:vMerge/>
          </w:tcPr>
          <w:p w:rsidR="00526383" w:rsidRDefault="00526383" w:rsidP="00670E3F"/>
        </w:tc>
        <w:tc>
          <w:tcPr>
            <w:tcW w:w="7560" w:type="dxa"/>
          </w:tcPr>
          <w:p w:rsidR="00526383" w:rsidRPr="00526383" w:rsidRDefault="00526383" w:rsidP="00526383">
            <w:r w:rsidRPr="00526383">
              <w:t xml:space="preserve">• Reasoning on why MB Chair will always be the EPA CBPO Director. </w:t>
            </w:r>
          </w:p>
        </w:tc>
        <w:tc>
          <w:tcPr>
            <w:tcW w:w="2970" w:type="dxa"/>
          </w:tcPr>
          <w:p w:rsidR="00526383" w:rsidRPr="00526383" w:rsidRDefault="00526383">
            <w:r w:rsidRPr="00526383">
              <w:t xml:space="preserve">p. 9, MB Leadership and Membership </w:t>
            </w:r>
          </w:p>
        </w:tc>
      </w:tr>
      <w:tr w:rsidR="00526383" w:rsidTr="00867757">
        <w:trPr>
          <w:trHeight w:val="54"/>
        </w:trPr>
        <w:tc>
          <w:tcPr>
            <w:tcW w:w="2628" w:type="dxa"/>
            <w:vMerge/>
          </w:tcPr>
          <w:p w:rsidR="00526383" w:rsidRDefault="00526383" w:rsidP="00670E3F"/>
        </w:tc>
        <w:tc>
          <w:tcPr>
            <w:tcW w:w="7560" w:type="dxa"/>
          </w:tcPr>
          <w:p w:rsidR="00526383" w:rsidRPr="002D2E2B" w:rsidRDefault="00526383" w:rsidP="00526383">
            <w:r>
              <w:t xml:space="preserve">• Need to address the necessity of self-guided collaboration among GITs.  </w:t>
            </w:r>
          </w:p>
        </w:tc>
        <w:tc>
          <w:tcPr>
            <w:tcW w:w="2970" w:type="dxa"/>
          </w:tcPr>
          <w:p w:rsidR="00526383" w:rsidRPr="00526383" w:rsidRDefault="00526383">
            <w:r w:rsidRPr="00526383">
              <w:t>p. 11, GITs</w:t>
            </w:r>
          </w:p>
        </w:tc>
      </w:tr>
      <w:tr w:rsidR="00526383" w:rsidTr="00867757">
        <w:trPr>
          <w:trHeight w:val="135"/>
        </w:trPr>
        <w:tc>
          <w:tcPr>
            <w:tcW w:w="2628" w:type="dxa"/>
            <w:vMerge/>
          </w:tcPr>
          <w:p w:rsidR="00526383" w:rsidRDefault="00526383" w:rsidP="00670E3F"/>
        </w:tc>
        <w:tc>
          <w:tcPr>
            <w:tcW w:w="7560" w:type="dxa"/>
          </w:tcPr>
          <w:p w:rsidR="00526383" w:rsidRDefault="00526383" w:rsidP="00526383">
            <w:r>
              <w:t xml:space="preserve">• Clarify the process by which GITs provide input and guidance on the EPA CBPO budget.  </w:t>
            </w:r>
          </w:p>
        </w:tc>
        <w:tc>
          <w:tcPr>
            <w:tcW w:w="2970" w:type="dxa"/>
          </w:tcPr>
          <w:p w:rsidR="00526383" w:rsidRPr="00526383" w:rsidRDefault="00526383">
            <w:r w:rsidRPr="00526383">
              <w:t>p. 11, GITs Roles and Responsibilities</w:t>
            </w:r>
          </w:p>
        </w:tc>
      </w:tr>
      <w:tr w:rsidR="00867757" w:rsidTr="00867757">
        <w:trPr>
          <w:trHeight w:val="135"/>
        </w:trPr>
        <w:tc>
          <w:tcPr>
            <w:tcW w:w="2628" w:type="dxa"/>
            <w:vMerge w:val="restart"/>
          </w:tcPr>
          <w:p w:rsidR="00867757" w:rsidRDefault="00867757" w:rsidP="00670E3F">
            <w:r w:rsidRPr="00A53C08">
              <w:rPr>
                <w:b/>
              </w:rPr>
              <w:lastRenderedPageBreak/>
              <w:t xml:space="preserve">CAC </w:t>
            </w:r>
            <w:r>
              <w:t>(Jessica Blackburn)</w:t>
            </w:r>
          </w:p>
        </w:tc>
        <w:tc>
          <w:tcPr>
            <w:tcW w:w="7560" w:type="dxa"/>
          </w:tcPr>
          <w:p w:rsidR="00867757" w:rsidRPr="002D2E2B" w:rsidRDefault="00867757" w:rsidP="00C11EDE">
            <w:r w:rsidRPr="002D2E2B">
              <w:t xml:space="preserve">• Change “GIT” </w:t>
            </w:r>
            <w:r w:rsidR="00FF5BCD" w:rsidRPr="002D2E2B">
              <w:t>acronym to</w:t>
            </w:r>
            <w:r w:rsidRPr="002D2E2B">
              <w:t xml:space="preserve"> “Goal Team</w:t>
            </w:r>
            <w:r>
              <w:t>.”</w:t>
            </w:r>
          </w:p>
        </w:tc>
        <w:tc>
          <w:tcPr>
            <w:tcW w:w="2970" w:type="dxa"/>
          </w:tcPr>
          <w:p w:rsidR="00867757" w:rsidRPr="00C11EDE" w:rsidRDefault="00867757">
            <w:r w:rsidRPr="00C11EDE">
              <w:t>p.2 and throughout document</w:t>
            </w:r>
          </w:p>
        </w:tc>
      </w:tr>
      <w:tr w:rsidR="00867757" w:rsidTr="00867757">
        <w:trPr>
          <w:trHeight w:val="135"/>
        </w:trPr>
        <w:tc>
          <w:tcPr>
            <w:tcW w:w="2628" w:type="dxa"/>
            <w:vMerge/>
          </w:tcPr>
          <w:p w:rsidR="00867757" w:rsidRDefault="00867757" w:rsidP="00670E3F"/>
        </w:tc>
        <w:tc>
          <w:tcPr>
            <w:tcW w:w="7560" w:type="dxa"/>
          </w:tcPr>
          <w:p w:rsidR="00867757" w:rsidRPr="00C11EDE" w:rsidRDefault="00867757" w:rsidP="00C11EDE">
            <w:r w:rsidRPr="00C11EDE">
              <w:t xml:space="preserve">• Add a meeting rule to PSC and MB Operations: agenda/decision documents are distributed at least one week prior to meeting. </w:t>
            </w:r>
          </w:p>
        </w:tc>
        <w:tc>
          <w:tcPr>
            <w:tcW w:w="2970" w:type="dxa"/>
          </w:tcPr>
          <w:p w:rsidR="00867757" w:rsidRPr="00C11EDE" w:rsidRDefault="00867757">
            <w:r w:rsidRPr="00C11EDE">
              <w:t>p. 8, PSC Operations; p. 10, MB Operations</w:t>
            </w:r>
          </w:p>
        </w:tc>
      </w:tr>
      <w:tr w:rsidR="00867757" w:rsidTr="00867757">
        <w:trPr>
          <w:trHeight w:val="135"/>
        </w:trPr>
        <w:tc>
          <w:tcPr>
            <w:tcW w:w="2628" w:type="dxa"/>
            <w:vMerge/>
          </w:tcPr>
          <w:p w:rsidR="00867757" w:rsidRDefault="00867757" w:rsidP="00670E3F"/>
        </w:tc>
        <w:tc>
          <w:tcPr>
            <w:tcW w:w="7560" w:type="dxa"/>
          </w:tcPr>
          <w:p w:rsidR="00867757" w:rsidRPr="002D2E2B" w:rsidRDefault="00867757" w:rsidP="00C11EDE">
            <w:r w:rsidRPr="002D2E2B">
              <w:t xml:space="preserve">• </w:t>
            </w:r>
            <w:r>
              <w:t xml:space="preserve">Reflect CAC’s work more accurately (additions made in document). </w:t>
            </w:r>
          </w:p>
        </w:tc>
        <w:tc>
          <w:tcPr>
            <w:tcW w:w="2970" w:type="dxa"/>
          </w:tcPr>
          <w:p w:rsidR="00867757" w:rsidRPr="00C11EDE" w:rsidRDefault="00867757">
            <w:r w:rsidRPr="00C11EDE">
              <w:t>p. 13,</w:t>
            </w:r>
            <w:r>
              <w:t xml:space="preserve"> </w:t>
            </w:r>
            <w:r w:rsidRPr="00C11EDE">
              <w:t>CAC</w:t>
            </w:r>
          </w:p>
        </w:tc>
      </w:tr>
      <w:tr w:rsidR="00867757" w:rsidTr="00867757">
        <w:tc>
          <w:tcPr>
            <w:tcW w:w="2628" w:type="dxa"/>
            <w:vMerge/>
          </w:tcPr>
          <w:p w:rsidR="00867757" w:rsidRPr="00A23F98" w:rsidRDefault="00867757" w:rsidP="00670E3F"/>
        </w:tc>
        <w:tc>
          <w:tcPr>
            <w:tcW w:w="7560" w:type="dxa"/>
          </w:tcPr>
          <w:p w:rsidR="00867757" w:rsidRPr="002D2E2B" w:rsidRDefault="00867757" w:rsidP="00A23F98">
            <w:r w:rsidRPr="002D2E2B">
              <w:t>• Reword some of the common Advisory Committee functions/role to read more succinctly</w:t>
            </w:r>
            <w:r>
              <w:t xml:space="preserve"> (changes made in document). </w:t>
            </w:r>
          </w:p>
        </w:tc>
        <w:tc>
          <w:tcPr>
            <w:tcW w:w="2970" w:type="dxa"/>
          </w:tcPr>
          <w:p w:rsidR="00867757" w:rsidRPr="00C11EDE" w:rsidRDefault="00867757">
            <w:r w:rsidRPr="00C11EDE">
              <w:t>pp. 13-14, CBP Advisory Committees Key Functions and Responsibilities</w:t>
            </w:r>
          </w:p>
        </w:tc>
      </w:tr>
      <w:tr w:rsidR="00867757" w:rsidTr="00867757">
        <w:tc>
          <w:tcPr>
            <w:tcW w:w="2628" w:type="dxa"/>
          </w:tcPr>
          <w:p w:rsidR="00867757" w:rsidRPr="001209C1" w:rsidRDefault="00867757" w:rsidP="00483B89">
            <w:r w:rsidRPr="00A53C08">
              <w:rPr>
                <w:b/>
              </w:rPr>
              <w:t xml:space="preserve">LGAC </w:t>
            </w:r>
            <w:r>
              <w:t>(Mary Gattis)</w:t>
            </w:r>
          </w:p>
        </w:tc>
        <w:tc>
          <w:tcPr>
            <w:tcW w:w="7560" w:type="dxa"/>
          </w:tcPr>
          <w:p w:rsidR="00867757" w:rsidRPr="002D2E2B" w:rsidRDefault="00867757" w:rsidP="009C6D5D">
            <w:r>
              <w:t>• AC Chairs</w:t>
            </w:r>
            <w:r w:rsidRPr="002D2E2B">
              <w:t xml:space="preserve"> </w:t>
            </w:r>
            <w:r>
              <w:t xml:space="preserve">should </w:t>
            </w:r>
            <w:r w:rsidRPr="002D2E2B">
              <w:t>be desi</w:t>
            </w:r>
            <w:r>
              <w:t xml:space="preserve">gnated as “non-voting members” on PSC and MB. </w:t>
            </w:r>
          </w:p>
        </w:tc>
        <w:tc>
          <w:tcPr>
            <w:tcW w:w="2970" w:type="dxa"/>
          </w:tcPr>
          <w:p w:rsidR="00867757" w:rsidRPr="009C6D5D" w:rsidRDefault="00867757">
            <w:r w:rsidRPr="009C6D5D">
              <w:t xml:space="preserve">pp. 8-9, PSC and MB Leadership and Membership </w:t>
            </w:r>
          </w:p>
        </w:tc>
      </w:tr>
      <w:tr w:rsidR="00867757" w:rsidTr="00867757">
        <w:tc>
          <w:tcPr>
            <w:tcW w:w="2628" w:type="dxa"/>
          </w:tcPr>
          <w:p w:rsidR="00867757" w:rsidRPr="00A53C08" w:rsidRDefault="00867757" w:rsidP="00483B89">
            <w:pPr>
              <w:rPr>
                <w:b/>
              </w:rPr>
            </w:pPr>
            <w:r>
              <w:rPr>
                <w:b/>
              </w:rPr>
              <w:t xml:space="preserve">STAC </w:t>
            </w:r>
            <w:r w:rsidRPr="008903D6">
              <w:t>(Natalie Gardner)</w:t>
            </w:r>
          </w:p>
        </w:tc>
        <w:tc>
          <w:tcPr>
            <w:tcW w:w="7560" w:type="dxa"/>
          </w:tcPr>
          <w:p w:rsidR="00867757" w:rsidRDefault="00867757" w:rsidP="00B30EBB">
            <w:r>
              <w:t>• Addition made to the description of STAC to provide more detail on their role (additions made in document).</w:t>
            </w:r>
          </w:p>
        </w:tc>
        <w:tc>
          <w:tcPr>
            <w:tcW w:w="2970" w:type="dxa"/>
          </w:tcPr>
          <w:p w:rsidR="00867757" w:rsidRPr="00867757" w:rsidRDefault="00867757">
            <w:r w:rsidRPr="00867757">
              <w:t>pp. 13, STAC</w:t>
            </w:r>
          </w:p>
        </w:tc>
      </w:tr>
    </w:tbl>
    <w:p w:rsidR="00682CF9" w:rsidRPr="00682CF9" w:rsidRDefault="00682CF9" w:rsidP="00682CF9">
      <w:pPr>
        <w:spacing w:after="0" w:line="240" w:lineRule="auto"/>
      </w:pPr>
    </w:p>
    <w:sectPr w:rsidR="00682CF9" w:rsidRPr="00682CF9" w:rsidSect="00A23F98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DCE" w:rsidRDefault="00711DCE" w:rsidP="00A23F98">
      <w:pPr>
        <w:spacing w:after="0" w:line="240" w:lineRule="auto"/>
      </w:pPr>
      <w:r>
        <w:separator/>
      </w:r>
    </w:p>
  </w:endnote>
  <w:endnote w:type="continuationSeparator" w:id="0">
    <w:p w:rsidR="00711DCE" w:rsidRDefault="00711DCE" w:rsidP="00A23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DCE" w:rsidRDefault="00C11EDE">
    <w:pPr>
      <w:pStyle w:val="Footer"/>
    </w:pPr>
    <w:r>
      <w:t>Last revised 6-27</w:t>
    </w:r>
    <w:r w:rsidR="00711DCE">
      <w:t>-2014 by S. Watterson</w:t>
    </w:r>
  </w:p>
  <w:p w:rsidR="00711DCE" w:rsidRDefault="00711D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DCE" w:rsidRDefault="00711DCE" w:rsidP="00A23F98">
      <w:pPr>
        <w:spacing w:after="0" w:line="240" w:lineRule="auto"/>
      </w:pPr>
      <w:r>
        <w:separator/>
      </w:r>
    </w:p>
  </w:footnote>
  <w:footnote w:type="continuationSeparator" w:id="0">
    <w:p w:rsidR="00711DCE" w:rsidRDefault="00711DCE" w:rsidP="00A23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384909"/>
      <w:docPartObj>
        <w:docPartGallery w:val="Page Numbers (Top of Page)"/>
        <w:docPartUnique/>
      </w:docPartObj>
    </w:sdtPr>
    <w:sdtContent>
      <w:p w:rsidR="00711DCE" w:rsidRDefault="00C74964">
        <w:pPr>
          <w:pStyle w:val="Header"/>
          <w:jc w:val="right"/>
        </w:pPr>
        <w:fldSimple w:instr=" PAGE   \* MERGEFORMAT ">
          <w:r w:rsidR="00FB5610">
            <w:rPr>
              <w:noProof/>
            </w:rPr>
            <w:t>1</w:t>
          </w:r>
        </w:fldSimple>
      </w:p>
    </w:sdtContent>
  </w:sdt>
  <w:p w:rsidR="00711DCE" w:rsidRDefault="00711DC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F4BB1"/>
    <w:multiLevelType w:val="hybridMultilevel"/>
    <w:tmpl w:val="037614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3F98"/>
    <w:rsid w:val="001209C1"/>
    <w:rsid w:val="00147822"/>
    <w:rsid w:val="001A5F23"/>
    <w:rsid w:val="001F59F0"/>
    <w:rsid w:val="002D2E2B"/>
    <w:rsid w:val="00357207"/>
    <w:rsid w:val="003F53BC"/>
    <w:rsid w:val="004640B1"/>
    <w:rsid w:val="00507617"/>
    <w:rsid w:val="00526383"/>
    <w:rsid w:val="006507B0"/>
    <w:rsid w:val="00670E3F"/>
    <w:rsid w:val="00682CF9"/>
    <w:rsid w:val="0069099B"/>
    <w:rsid w:val="00711DCE"/>
    <w:rsid w:val="00867757"/>
    <w:rsid w:val="008903D6"/>
    <w:rsid w:val="008D33B1"/>
    <w:rsid w:val="008F73BA"/>
    <w:rsid w:val="00902F25"/>
    <w:rsid w:val="00927502"/>
    <w:rsid w:val="00962886"/>
    <w:rsid w:val="00972C0E"/>
    <w:rsid w:val="009C6D5D"/>
    <w:rsid w:val="00A23F98"/>
    <w:rsid w:val="00A34A79"/>
    <w:rsid w:val="00A53C08"/>
    <w:rsid w:val="00A5543F"/>
    <w:rsid w:val="00B447BA"/>
    <w:rsid w:val="00B64953"/>
    <w:rsid w:val="00B8727F"/>
    <w:rsid w:val="00BE297C"/>
    <w:rsid w:val="00C11EDE"/>
    <w:rsid w:val="00C3124D"/>
    <w:rsid w:val="00C74964"/>
    <w:rsid w:val="00CB407B"/>
    <w:rsid w:val="00DE21AB"/>
    <w:rsid w:val="00E25388"/>
    <w:rsid w:val="00EA02F0"/>
    <w:rsid w:val="00F341E0"/>
    <w:rsid w:val="00FB1E21"/>
    <w:rsid w:val="00FB5610"/>
    <w:rsid w:val="00FF5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7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3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3F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3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F98"/>
  </w:style>
  <w:style w:type="paragraph" w:styleId="Footer">
    <w:name w:val="footer"/>
    <w:basedOn w:val="Normal"/>
    <w:link w:val="FooterChar"/>
    <w:uiPriority w:val="99"/>
    <w:unhideWhenUsed/>
    <w:rsid w:val="00A23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F98"/>
  </w:style>
  <w:style w:type="paragraph" w:styleId="BalloonText">
    <w:name w:val="Balloon Text"/>
    <w:basedOn w:val="Normal"/>
    <w:link w:val="BalloonTextChar"/>
    <w:uiPriority w:val="99"/>
    <w:semiHidden/>
    <w:unhideWhenUsed/>
    <w:rsid w:val="00A23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F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F772FD-D0BE-4236-87C1-7AD5732CD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EPA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swatterson</dc:creator>
  <cp:lastModifiedBy>swatterson</cp:lastModifiedBy>
  <cp:revision>3</cp:revision>
  <cp:lastPrinted>2014-06-26T17:35:00Z</cp:lastPrinted>
  <dcterms:created xsi:type="dcterms:W3CDTF">2014-06-27T16:10:00Z</dcterms:created>
  <dcterms:modified xsi:type="dcterms:W3CDTF">2014-06-27T16:10:00Z</dcterms:modified>
</cp:coreProperties>
</file>