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92F7F" w14:textId="5B9B7C54" w:rsidR="00D950A3" w:rsidRDefault="00D950A3" w:rsidP="00D950A3">
      <w:pPr>
        <w:pStyle w:val="Heading1"/>
        <w:jc w:val="center"/>
        <w:rPr>
          <w:rFonts w:eastAsia="Times New Roman"/>
        </w:rPr>
      </w:pPr>
      <w:r>
        <w:rPr>
          <w:rFonts w:eastAsia="Times New Roman"/>
        </w:rPr>
        <w:t xml:space="preserve">Discussion Paper: </w:t>
      </w:r>
      <w:r w:rsidR="00B501CB">
        <w:rPr>
          <w:rFonts w:eastAsia="Times New Roman"/>
        </w:rPr>
        <w:t xml:space="preserve">Enhancing Monitoring to Address </w:t>
      </w:r>
      <w:r>
        <w:rPr>
          <w:rFonts w:eastAsia="Times New Roman"/>
        </w:rPr>
        <w:t>the CBP Toxic Contaminant Outcomes</w:t>
      </w:r>
    </w:p>
    <w:p w14:paraId="50284552" w14:textId="3C953B15" w:rsidR="00D950A3" w:rsidRDefault="00173ECF" w:rsidP="00D950A3">
      <w:r>
        <w:t xml:space="preserve">Updated </w:t>
      </w:r>
      <w:r w:rsidR="00D86750">
        <w:t xml:space="preserve">Nov </w:t>
      </w:r>
      <w:r w:rsidR="00095229">
        <w:t>9</w:t>
      </w:r>
      <w:r>
        <w:t>, 2021</w:t>
      </w:r>
    </w:p>
    <w:p w14:paraId="52CD59CD" w14:textId="5673F807" w:rsidR="00B501CB" w:rsidRDefault="00C86728" w:rsidP="00D950A3">
      <w:r>
        <w:rPr>
          <w:rStyle w:val="Heading2Char"/>
        </w:rPr>
        <w:t>Purpose</w:t>
      </w:r>
      <w:r w:rsidR="00B52C97" w:rsidRPr="00B52C97">
        <w:rPr>
          <w:rStyle w:val="Heading2Char"/>
        </w:rPr>
        <w:t>:</w:t>
      </w:r>
      <w:r w:rsidR="00B52C97">
        <w:t xml:space="preserve"> </w:t>
      </w:r>
      <w:r w:rsidR="00D950A3">
        <w:t xml:space="preserve">The Chesapeake Bay Program </w:t>
      </w:r>
      <w:r>
        <w:t>Principal</w:t>
      </w:r>
      <w:r w:rsidR="00D950A3">
        <w:t xml:space="preserve"> Staff Committee (PSC) requested information to enhance the </w:t>
      </w:r>
      <w:r w:rsidR="00C47145">
        <w:t>Chesapeake Bay Program (</w:t>
      </w:r>
      <w:r w:rsidR="00D950A3">
        <w:t>CBP</w:t>
      </w:r>
      <w:r w:rsidR="00C47145">
        <w:t>)</w:t>
      </w:r>
      <w:r w:rsidR="00D950A3">
        <w:t xml:space="preserve"> monitoring networks. While the request is focused on the existing CBP networks, information is being included on monitoring needs of selected outcomes in the Chesapeake Watershed Agreement. </w:t>
      </w:r>
    </w:p>
    <w:p w14:paraId="5F2A56A7" w14:textId="5A505867" w:rsidR="0053406D" w:rsidRDefault="00C86728" w:rsidP="00D950A3">
      <w:r>
        <w:t>This paper summarizes potential enhanced monitoring to address the Toxic Contaminant Outcomes in the Chesapeake Watershed Agreement. The goal and outcomes were developed because of the widespread</w:t>
      </w:r>
      <w:r w:rsidR="0053406D">
        <w:t xml:space="preserve"> occurrence of toxic contaminants in the Bay and its watershed (EPA, 2012). </w:t>
      </w:r>
      <w:r>
        <w:t>In tidal waters the impairments from toxic contaminants increased between 2010 and 2016 (</w:t>
      </w:r>
      <w:r w:rsidR="00073B66">
        <w:t>F</w:t>
      </w:r>
      <w:r>
        <w:t>ig</w:t>
      </w:r>
      <w:r w:rsidR="00073B66">
        <w:t>.</w:t>
      </w:r>
      <w:r>
        <w:t xml:space="preserve"> 1). </w:t>
      </w:r>
    </w:p>
    <w:p w14:paraId="3B70CC4E" w14:textId="74C41824" w:rsidR="0053406D" w:rsidRDefault="00C86728" w:rsidP="00D950A3">
      <w:r>
        <w:rPr>
          <w:noProof/>
        </w:rPr>
        <w:drawing>
          <wp:inline distT="0" distB="0" distL="0" distR="0" wp14:anchorId="1F69585C" wp14:editId="2E7BF26D">
            <wp:extent cx="6000750" cy="4526848"/>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4037" cy="4544415"/>
                    </a:xfrm>
                    <a:prstGeom prst="rect">
                      <a:avLst/>
                    </a:prstGeom>
                    <a:noFill/>
                    <a:ln>
                      <a:noFill/>
                    </a:ln>
                  </pic:spPr>
                </pic:pic>
              </a:graphicData>
            </a:graphic>
          </wp:inline>
        </w:drawing>
      </w:r>
    </w:p>
    <w:p w14:paraId="4C604701" w14:textId="77777777" w:rsidR="00095229" w:rsidRDefault="00095229" w:rsidP="00095229">
      <w:r>
        <w:t xml:space="preserve">Figure 1 (from Chesapeake </w:t>
      </w:r>
      <w:hyperlink r:id="rId9" w:history="1">
        <w:r w:rsidRPr="00C47145">
          <w:rPr>
            <w:rStyle w:val="Hyperlink"/>
          </w:rPr>
          <w:t>Progress</w:t>
        </w:r>
      </w:hyperlink>
      <w:r>
        <w:t>) Toxic Impairments in the Tidal Chesapeake Bay (2010-2016) (PCBs, polychlorinated biphenyls)</w:t>
      </w:r>
    </w:p>
    <w:p w14:paraId="2DA9D73E" w14:textId="77777777" w:rsidR="00C86728" w:rsidRDefault="00C86728" w:rsidP="00D950A3"/>
    <w:p w14:paraId="5274C512" w14:textId="77777777" w:rsidR="001770DA" w:rsidRDefault="001770DA" w:rsidP="001770DA">
      <w:pPr>
        <w:pStyle w:val="Heading2"/>
      </w:pPr>
      <w:r>
        <w:lastRenderedPageBreak/>
        <w:t xml:space="preserve">Organization of the Discussion Paper </w:t>
      </w:r>
    </w:p>
    <w:p w14:paraId="2818AC0E" w14:textId="6F1187F9" w:rsidR="001770DA" w:rsidRDefault="001770DA" w:rsidP="001770DA">
      <w:r>
        <w:t xml:space="preserve">The Toxic Contaminant Workgroup (TCW) developed this paper based on the information requested by </w:t>
      </w:r>
      <w:r w:rsidRPr="00073B66">
        <w:t>the CBP Science and Technical Assessment and Report</w:t>
      </w:r>
      <w:r w:rsidR="00B701D7" w:rsidRPr="00073B66">
        <w:t>ing</w:t>
      </w:r>
      <w:r w:rsidRPr="00073B66">
        <w:t xml:space="preserve"> (STAR)</w:t>
      </w:r>
      <w:r w:rsidR="00B701D7" w:rsidRPr="00073B66">
        <w:t xml:space="preserve"> team</w:t>
      </w:r>
      <w:r w:rsidRPr="00073B66">
        <w:t>, which included:</w:t>
      </w:r>
      <w:r>
        <w:t xml:space="preserve"> </w:t>
      </w:r>
    </w:p>
    <w:p w14:paraId="07E958F0" w14:textId="7F216ED4" w:rsidR="001770DA" w:rsidRPr="00173ECF" w:rsidRDefault="001770DA" w:rsidP="001770DA">
      <w:pPr>
        <w:pStyle w:val="ListParagraph"/>
        <w:numPr>
          <w:ilvl w:val="0"/>
          <w:numId w:val="1"/>
        </w:numPr>
      </w:pPr>
      <w:r w:rsidRPr="001770DA">
        <w:rPr>
          <w:rFonts w:ascii="Calibri" w:eastAsia="Times New Roman" w:hAnsi="Calibri" w:cs="Calibri"/>
          <w:i/>
          <w:iCs/>
          <w:color w:val="000000"/>
          <w:sz w:val="24"/>
          <w:szCs w:val="24"/>
        </w:rPr>
        <w:t>Need for enhanced monitoring</w:t>
      </w:r>
      <w:r w:rsidRPr="001770DA">
        <w:rPr>
          <w:rFonts w:ascii="Calibri" w:eastAsia="Times New Roman" w:hAnsi="Calibri" w:cs="Calibri"/>
          <w:color w:val="000000"/>
          <w:sz w:val="24"/>
          <w:szCs w:val="24"/>
        </w:rPr>
        <w:t>: how would the monitoring address CBP goals and outcomes.  </w:t>
      </w:r>
      <w:r w:rsidR="00C47145">
        <w:rPr>
          <w:rFonts w:ascii="Calibri" w:eastAsia="Times New Roman" w:hAnsi="Calibri" w:cs="Calibri"/>
          <w:color w:val="000000"/>
          <w:sz w:val="24"/>
          <w:szCs w:val="24"/>
        </w:rPr>
        <w:t>(explained further in section 1)</w:t>
      </w:r>
    </w:p>
    <w:p w14:paraId="1E05A7B0" w14:textId="5C225A36" w:rsidR="001770DA" w:rsidRDefault="001770DA" w:rsidP="001770DA">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rPr>
      </w:pPr>
      <w:r w:rsidRPr="00876196">
        <w:rPr>
          <w:rFonts w:ascii="Calibri" w:eastAsia="Times New Roman" w:hAnsi="Calibri" w:cs="Calibri"/>
          <w:i/>
          <w:iCs/>
          <w:color w:val="000000"/>
          <w:sz w:val="24"/>
          <w:szCs w:val="24"/>
        </w:rPr>
        <w:t>Objectives of enhanced monitoring</w:t>
      </w:r>
      <w:r>
        <w:rPr>
          <w:rFonts w:ascii="Calibri" w:eastAsia="Times New Roman" w:hAnsi="Calibri" w:cs="Calibri"/>
          <w:color w:val="000000"/>
          <w:sz w:val="24"/>
          <w:szCs w:val="24"/>
        </w:rPr>
        <w:t>: The outcomes would be used to define monitoring objectives and priorities.</w:t>
      </w:r>
      <w:r w:rsidR="00C47145">
        <w:rPr>
          <w:rFonts w:ascii="Calibri" w:eastAsia="Times New Roman" w:hAnsi="Calibri" w:cs="Calibri"/>
          <w:color w:val="000000"/>
          <w:sz w:val="24"/>
          <w:szCs w:val="24"/>
        </w:rPr>
        <w:t xml:space="preserve"> (explained further in section 2)</w:t>
      </w:r>
    </w:p>
    <w:p w14:paraId="1C9C7D07" w14:textId="62295AED" w:rsidR="001770DA" w:rsidRPr="00D950A3" w:rsidRDefault="001770DA" w:rsidP="001770DA">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rPr>
      </w:pPr>
      <w:r w:rsidRPr="00876196">
        <w:rPr>
          <w:rFonts w:ascii="Calibri" w:eastAsia="Times New Roman" w:hAnsi="Calibri" w:cs="Calibri"/>
          <w:i/>
          <w:iCs/>
          <w:color w:val="000000"/>
          <w:sz w:val="24"/>
          <w:szCs w:val="24"/>
        </w:rPr>
        <w:t>Existing monitoring</w:t>
      </w:r>
      <w:r>
        <w:rPr>
          <w:rFonts w:ascii="Calibri" w:eastAsia="Times New Roman" w:hAnsi="Calibri" w:cs="Calibri"/>
          <w:i/>
          <w:iCs/>
          <w:color w:val="000000"/>
          <w:sz w:val="24"/>
          <w:szCs w:val="24"/>
        </w:rPr>
        <w:t xml:space="preserve">: </w:t>
      </w:r>
      <w:r>
        <w:rPr>
          <w:rFonts w:ascii="Calibri" w:eastAsia="Times New Roman" w:hAnsi="Calibri" w:cs="Calibri"/>
          <w:color w:val="000000"/>
          <w:sz w:val="24"/>
          <w:szCs w:val="24"/>
        </w:rPr>
        <w:t xml:space="preserve">Assess monitoring </w:t>
      </w:r>
      <w:r w:rsidRPr="00D950A3">
        <w:rPr>
          <w:rFonts w:ascii="Calibri" w:eastAsia="Times New Roman" w:hAnsi="Calibri" w:cs="Calibri"/>
          <w:color w:val="000000"/>
          <w:sz w:val="24"/>
          <w:szCs w:val="24"/>
        </w:rPr>
        <w:t xml:space="preserve">that can be utilized </w:t>
      </w:r>
      <w:r>
        <w:rPr>
          <w:rFonts w:ascii="Calibri" w:eastAsia="Times New Roman" w:hAnsi="Calibri" w:cs="Calibri"/>
          <w:color w:val="000000"/>
          <w:sz w:val="24"/>
          <w:szCs w:val="24"/>
        </w:rPr>
        <w:t>to address the objectives and design considerations.</w:t>
      </w:r>
      <w:r w:rsidRPr="00D950A3">
        <w:rPr>
          <w:rFonts w:ascii="Calibri" w:eastAsia="Times New Roman" w:hAnsi="Calibri" w:cs="Calibri"/>
          <w:color w:val="000000"/>
          <w:sz w:val="24"/>
          <w:szCs w:val="24"/>
        </w:rPr>
        <w:t> </w:t>
      </w:r>
      <w:r w:rsidR="00C47145">
        <w:rPr>
          <w:rFonts w:ascii="Calibri" w:eastAsia="Times New Roman" w:hAnsi="Calibri" w:cs="Calibri"/>
          <w:color w:val="000000"/>
          <w:sz w:val="24"/>
          <w:szCs w:val="24"/>
        </w:rPr>
        <w:t>(explained further in section 3)</w:t>
      </w:r>
    </w:p>
    <w:p w14:paraId="3A753682" w14:textId="32A93BA9" w:rsidR="001770DA" w:rsidRPr="00D950A3" w:rsidRDefault="001770DA" w:rsidP="001770DA">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rPr>
      </w:pPr>
      <w:r w:rsidRPr="00876196">
        <w:rPr>
          <w:rFonts w:ascii="Calibri" w:eastAsia="Times New Roman" w:hAnsi="Calibri" w:cs="Calibri"/>
          <w:i/>
          <w:iCs/>
          <w:color w:val="000000"/>
          <w:sz w:val="24"/>
          <w:szCs w:val="24"/>
        </w:rPr>
        <w:t>Remaining gaps</w:t>
      </w:r>
      <w:r>
        <w:rPr>
          <w:rFonts w:ascii="Calibri" w:eastAsia="Times New Roman" w:hAnsi="Calibri" w:cs="Calibri"/>
          <w:color w:val="000000"/>
          <w:sz w:val="24"/>
          <w:szCs w:val="24"/>
        </w:rPr>
        <w:t xml:space="preserve">: identify gaps that cannot be filled with existing monitoring. </w:t>
      </w:r>
      <w:r w:rsidRPr="00D950A3">
        <w:rPr>
          <w:rFonts w:ascii="Calibri" w:eastAsia="Times New Roman" w:hAnsi="Calibri" w:cs="Calibri"/>
          <w:color w:val="000000"/>
          <w:sz w:val="24"/>
          <w:szCs w:val="24"/>
        </w:rPr>
        <w:t> </w:t>
      </w:r>
      <w:r w:rsidR="00C47145">
        <w:rPr>
          <w:rFonts w:ascii="Calibri" w:eastAsia="Times New Roman" w:hAnsi="Calibri" w:cs="Calibri"/>
          <w:color w:val="000000"/>
          <w:sz w:val="24"/>
          <w:szCs w:val="24"/>
        </w:rPr>
        <w:t>(explained further in section 4)</w:t>
      </w:r>
    </w:p>
    <w:p w14:paraId="3DB8DF36" w14:textId="0B9C975D" w:rsidR="001770DA" w:rsidRPr="00C917EF" w:rsidRDefault="00C917EF" w:rsidP="00C917EF">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rPr>
      </w:pPr>
      <w:bookmarkStart w:id="0" w:name="_Hlk78784060"/>
      <w:r w:rsidRPr="00073B66">
        <w:rPr>
          <w:rFonts w:ascii="Calibri" w:hAnsi="Calibri"/>
          <w:i/>
          <w:color w:val="000000"/>
          <w:sz w:val="24"/>
        </w:rPr>
        <w:t>Monitoring design considerations</w:t>
      </w:r>
      <w:bookmarkEnd w:id="0"/>
      <w:r w:rsidRPr="00073B66">
        <w:rPr>
          <w:rFonts w:ascii="Calibri" w:hAnsi="Calibri"/>
          <w:i/>
          <w:color w:val="000000"/>
          <w:sz w:val="24"/>
        </w:rPr>
        <w:t xml:space="preserve"> and options</w:t>
      </w:r>
      <w:r w:rsidRPr="00073B66">
        <w:rPr>
          <w:rFonts w:ascii="Calibri" w:hAnsi="Calibri"/>
          <w:color w:val="000000"/>
          <w:sz w:val="24"/>
        </w:rPr>
        <w:t>:</w:t>
      </w:r>
      <w:r w:rsidRPr="00073B66">
        <w:rPr>
          <w:rFonts w:ascii="Calibri" w:eastAsia="Times New Roman" w:hAnsi="Calibri" w:cs="Calibri"/>
          <w:color w:val="000000"/>
          <w:sz w:val="24"/>
          <w:szCs w:val="24"/>
        </w:rPr>
        <w:t xml:space="preserve"> These are general considerations for</w:t>
      </w:r>
      <w:r>
        <w:rPr>
          <w:rFonts w:ascii="Calibri" w:eastAsia="Times New Roman" w:hAnsi="Calibri" w:cs="Calibri"/>
          <w:color w:val="000000"/>
          <w:sz w:val="24"/>
          <w:szCs w:val="24"/>
        </w:rPr>
        <w:t xml:space="preserve"> enhanced monitoring, not the design of a monitoring network, which would be a follow-up action if more funding became available. I</w:t>
      </w:r>
      <w:r w:rsidR="001770DA" w:rsidRPr="00C917EF">
        <w:rPr>
          <w:rFonts w:ascii="Calibri" w:eastAsia="Times New Roman" w:hAnsi="Calibri" w:cs="Calibri"/>
          <w:color w:val="000000"/>
          <w:sz w:val="24"/>
          <w:szCs w:val="24"/>
        </w:rPr>
        <w:t xml:space="preserve">dentify options to address the gaps and recommend which may be most realistic. An estimate of funding needed to address the recommendations would be useful. </w:t>
      </w:r>
      <w:r w:rsidR="00C47145">
        <w:rPr>
          <w:rFonts w:ascii="Calibri" w:eastAsia="Times New Roman" w:hAnsi="Calibri" w:cs="Calibri"/>
          <w:color w:val="000000"/>
          <w:sz w:val="24"/>
          <w:szCs w:val="24"/>
        </w:rPr>
        <w:t>(explained further in section 5)</w:t>
      </w:r>
    </w:p>
    <w:p w14:paraId="7857E71E" w14:textId="77777777" w:rsidR="001770DA" w:rsidRDefault="001770DA" w:rsidP="001770DA">
      <w:pPr>
        <w:pStyle w:val="ListParagraph"/>
        <w:shd w:val="clear" w:color="auto" w:fill="FFFFFF"/>
        <w:spacing w:after="0" w:line="240" w:lineRule="auto"/>
        <w:textAlignment w:val="baseline"/>
      </w:pPr>
    </w:p>
    <w:p w14:paraId="5F4A5532" w14:textId="6D907503" w:rsidR="001770DA" w:rsidRDefault="001770DA" w:rsidP="001770DA">
      <w:pPr>
        <w:spacing w:after="0"/>
      </w:pPr>
      <w:r>
        <w:t xml:space="preserve">The TCW undertook the effort during the </w:t>
      </w:r>
      <w:r w:rsidR="00AF0CCC">
        <w:t>s</w:t>
      </w:r>
      <w:r>
        <w:t xml:space="preserve">ummer and </w:t>
      </w:r>
      <w:r w:rsidR="00AF0CCC">
        <w:t>f</w:t>
      </w:r>
      <w:r>
        <w:t xml:space="preserve">all of 2021 and used these guiding principles for the discussions: </w:t>
      </w:r>
    </w:p>
    <w:p w14:paraId="41B33D33" w14:textId="0A77A5BD" w:rsidR="001770DA" w:rsidRPr="00C47145" w:rsidRDefault="001770DA" w:rsidP="001770DA">
      <w:pPr>
        <w:pStyle w:val="ListParagraph"/>
        <w:numPr>
          <w:ilvl w:val="0"/>
          <w:numId w:val="2"/>
        </w:numPr>
        <w:spacing w:after="0"/>
      </w:pPr>
      <w:r w:rsidRPr="00C47145">
        <w:t>A monitoring network for a wide range of contaminants would be extremely difficult and costly, so we need to prioritize the contaminant</w:t>
      </w:r>
      <w:r w:rsidR="00D16DAF" w:rsidRPr="00C47145">
        <w:t>(</w:t>
      </w:r>
      <w:r w:rsidRPr="00C47145">
        <w:t>s</w:t>
      </w:r>
      <w:r w:rsidR="00D16DAF" w:rsidRPr="00C47145">
        <w:t>)</w:t>
      </w:r>
      <w:r w:rsidRPr="00C47145">
        <w:t xml:space="preserve"> to be addressed. For example, PCBs and mercury are listed in our outcomes so they could be a high priority. </w:t>
      </w:r>
    </w:p>
    <w:p w14:paraId="143FA5CC" w14:textId="14175A76" w:rsidR="001770DA" w:rsidRPr="00C47145" w:rsidRDefault="001770DA" w:rsidP="001770DA">
      <w:pPr>
        <w:pStyle w:val="ListParagraph"/>
        <w:numPr>
          <w:ilvl w:val="0"/>
          <w:numId w:val="2"/>
        </w:numPr>
      </w:pPr>
      <w:r w:rsidRPr="00C47145">
        <w:t xml:space="preserve">The monitoring objectives need to be specific to help focus the design considerations </w:t>
      </w:r>
      <w:r w:rsidR="00875C62" w:rsidRPr="00C47145">
        <w:t xml:space="preserve">including </w:t>
      </w:r>
      <w:r w:rsidRPr="00C47145">
        <w:t xml:space="preserve">the types of monitoring for different media. </w:t>
      </w:r>
    </w:p>
    <w:p w14:paraId="05EEC8AE" w14:textId="5B5DF0E2" w:rsidR="003535EF" w:rsidRPr="00C47145" w:rsidRDefault="001770DA" w:rsidP="000318C5">
      <w:pPr>
        <w:pStyle w:val="ListParagraph"/>
        <w:numPr>
          <w:ilvl w:val="0"/>
          <w:numId w:val="2"/>
        </w:numPr>
      </w:pPr>
      <w:r w:rsidRPr="00C47145">
        <w:t>We need to take advantage of ongoing monitoring as a foundation for a network.</w:t>
      </w:r>
    </w:p>
    <w:p w14:paraId="353B3844" w14:textId="698A22B2" w:rsidR="001770DA" w:rsidRPr="007C6A65" w:rsidRDefault="001770DA" w:rsidP="007C6A65">
      <w:pPr>
        <w:pStyle w:val="Heading2"/>
        <w:rPr>
          <w:b/>
          <w:bCs/>
        </w:rPr>
      </w:pPr>
      <w:r w:rsidRPr="007C6A65">
        <w:rPr>
          <w:b/>
          <w:bCs/>
        </w:rPr>
        <w:t xml:space="preserve">Section 1: Need for </w:t>
      </w:r>
      <w:r w:rsidR="007C6A65" w:rsidRPr="007C6A65">
        <w:rPr>
          <w:b/>
          <w:bCs/>
        </w:rPr>
        <w:t>E</w:t>
      </w:r>
      <w:r w:rsidRPr="007C6A65">
        <w:rPr>
          <w:b/>
          <w:bCs/>
        </w:rPr>
        <w:t xml:space="preserve">nhanced </w:t>
      </w:r>
      <w:r w:rsidR="007C6A65" w:rsidRPr="007C6A65">
        <w:rPr>
          <w:b/>
          <w:bCs/>
        </w:rPr>
        <w:t>M</w:t>
      </w:r>
      <w:r w:rsidRPr="007C6A65">
        <w:rPr>
          <w:b/>
          <w:bCs/>
        </w:rPr>
        <w:t xml:space="preserve">onitoring  </w:t>
      </w:r>
    </w:p>
    <w:p w14:paraId="7FA9F8C9" w14:textId="4890F4FF" w:rsidR="00B501CB" w:rsidRDefault="00D950A3" w:rsidP="00D950A3">
      <w:r w:rsidRPr="00C47145">
        <w:t xml:space="preserve">The </w:t>
      </w:r>
      <w:r w:rsidR="001770DA" w:rsidRPr="00C47145">
        <w:t>TCW reviewed the two toxic contaminant outcomes in the Chesapeake Bay Agreement to identify</w:t>
      </w:r>
      <w:r w:rsidR="001770DA">
        <w:t xml:space="preserve"> items related to monitoring. The outcomes are: </w:t>
      </w:r>
    </w:p>
    <w:p w14:paraId="48D39C7E" w14:textId="77777777" w:rsidR="00B501CB" w:rsidRPr="00227914" w:rsidRDefault="00B501CB" w:rsidP="00B501CB">
      <w:pPr>
        <w:spacing w:after="0"/>
        <w:rPr>
          <w:u w:val="single"/>
        </w:rPr>
      </w:pPr>
      <w:r w:rsidRPr="00227914">
        <w:rPr>
          <w:u w:val="single"/>
        </w:rPr>
        <w:t xml:space="preserve">Policy and Prevention Outcome: </w:t>
      </w:r>
    </w:p>
    <w:p w14:paraId="79277A6B" w14:textId="77777777" w:rsidR="00B501CB" w:rsidRPr="00173ECF" w:rsidRDefault="00B501CB" w:rsidP="00B501CB">
      <w:pPr>
        <w:spacing w:after="0"/>
      </w:pPr>
      <w:r>
        <w:t>“Continually improve practices and controls that reduce and prevent the effects of toxic contaminants below levels that harm aquatic systems and humans. Build on existing programs to reduce the amount and effects of PCBs in the Bay and watershed. Use research findings to evaluate the implementation of additional policies, programs and practices for other contaminants that need to be further reduced or eliminated”.</w:t>
      </w:r>
    </w:p>
    <w:p w14:paraId="5333EEB5" w14:textId="77777777" w:rsidR="00B701D7" w:rsidRDefault="00B701D7" w:rsidP="00B501CB">
      <w:pPr>
        <w:spacing w:after="0"/>
        <w:rPr>
          <w:u w:val="single"/>
        </w:rPr>
      </w:pPr>
    </w:p>
    <w:p w14:paraId="2E7A80F7" w14:textId="0E9A5ECF" w:rsidR="00B501CB" w:rsidRPr="0035755D" w:rsidRDefault="00B501CB" w:rsidP="00B501CB">
      <w:pPr>
        <w:spacing w:after="0"/>
        <w:rPr>
          <w:u w:val="single"/>
        </w:rPr>
      </w:pPr>
      <w:r w:rsidRPr="0035755D">
        <w:rPr>
          <w:u w:val="single"/>
        </w:rPr>
        <w:t xml:space="preserve">Research Outcome:  </w:t>
      </w:r>
    </w:p>
    <w:p w14:paraId="2CB244EB" w14:textId="6511989B" w:rsidR="00B501CB" w:rsidRDefault="00B501CB" w:rsidP="00B501CB">
      <w:pPr>
        <w:spacing w:after="0"/>
      </w:pPr>
      <w:r w:rsidRPr="00C47145">
        <w:t xml:space="preserve">“Continually increase our understanding of the impacts and mitigation options for toxic contaminants. Develop a research agenda and further characterize the occurrence, concentrations, sources and effects of mercury, </w:t>
      </w:r>
      <w:proofErr w:type="gramStart"/>
      <w:r w:rsidRPr="00C47145">
        <w:t>PCBs</w:t>
      </w:r>
      <w:proofErr w:type="gramEnd"/>
      <w:r w:rsidRPr="00C47145">
        <w:t xml:space="preserve"> and other contaminants of emerging and widespread concern. In addition, identify which best management practices might provide multiple benefits of reducing nutrient and sediment pollution as well as toxic contaminants in waterways</w:t>
      </w:r>
      <w:r w:rsidR="001770DA" w:rsidRPr="00C47145">
        <w:t>”</w:t>
      </w:r>
    </w:p>
    <w:p w14:paraId="23DC9F9C" w14:textId="77777777" w:rsidR="001770DA" w:rsidRDefault="001770DA" w:rsidP="0053406D">
      <w:pPr>
        <w:spacing w:after="0"/>
      </w:pPr>
    </w:p>
    <w:p w14:paraId="70D6E4AA" w14:textId="76450435" w:rsidR="00735B78" w:rsidRDefault="0053406D" w:rsidP="0053406D">
      <w:pPr>
        <w:spacing w:after="0"/>
      </w:pPr>
      <w:r>
        <w:lastRenderedPageBreak/>
        <w:t xml:space="preserve">The </w:t>
      </w:r>
      <w:r w:rsidR="00553515">
        <w:t xml:space="preserve">TCW </w:t>
      </w:r>
      <w:r>
        <w:t xml:space="preserve">identified four monitoring needs associated with </w:t>
      </w:r>
      <w:r w:rsidR="001770DA">
        <w:t xml:space="preserve">the </w:t>
      </w:r>
      <w:r>
        <w:t>two outcomes:</w:t>
      </w:r>
    </w:p>
    <w:p w14:paraId="61F7AFB7" w14:textId="52F08033" w:rsidR="00216CBA" w:rsidRDefault="00735B78" w:rsidP="0053406D">
      <w:pPr>
        <w:pStyle w:val="ListParagraph"/>
        <w:numPr>
          <w:ilvl w:val="0"/>
          <w:numId w:val="11"/>
        </w:numPr>
        <w:spacing w:after="0"/>
      </w:pPr>
      <w:r>
        <w:t>Changes to PCBs</w:t>
      </w:r>
      <w:r w:rsidR="00E03C00">
        <w:t xml:space="preserve"> levels </w:t>
      </w:r>
      <w:r>
        <w:t xml:space="preserve">as </w:t>
      </w:r>
      <w:r w:rsidR="00C47145">
        <w:t>total maximum daily loads (</w:t>
      </w:r>
      <w:r>
        <w:t>TMDLs</w:t>
      </w:r>
      <w:r w:rsidR="00C47145">
        <w:t>)</w:t>
      </w:r>
      <w:r>
        <w:t xml:space="preserve"> and associated management actions are implemented</w:t>
      </w:r>
      <w:r w:rsidR="001770DA">
        <w:t>.</w:t>
      </w:r>
    </w:p>
    <w:p w14:paraId="68A992E2" w14:textId="55CA1789" w:rsidR="00735B78" w:rsidRDefault="00735B78" w:rsidP="0053406D">
      <w:pPr>
        <w:pStyle w:val="ListParagraph"/>
        <w:numPr>
          <w:ilvl w:val="0"/>
          <w:numId w:val="11"/>
        </w:numPr>
        <w:spacing w:after="0"/>
      </w:pPr>
      <w:r>
        <w:t>Changes to mercury as TMDLs and associated management actions are implemented</w:t>
      </w:r>
      <w:r w:rsidR="001770DA">
        <w:t>.</w:t>
      </w:r>
    </w:p>
    <w:p w14:paraId="6ACC21CF" w14:textId="215D2957" w:rsidR="00735B78" w:rsidRDefault="00735B78" w:rsidP="00735B78">
      <w:pPr>
        <w:pStyle w:val="ListParagraph"/>
        <w:numPr>
          <w:ilvl w:val="0"/>
          <w:numId w:val="11"/>
        </w:numPr>
      </w:pPr>
      <w:r>
        <w:t>Assessing contaminants of widespread concern (such as pesticides)</w:t>
      </w:r>
      <w:r w:rsidR="001770DA">
        <w:t>.</w:t>
      </w:r>
    </w:p>
    <w:p w14:paraId="21346CBB" w14:textId="787D3180" w:rsidR="00735B78" w:rsidRDefault="00735B78" w:rsidP="00735B78">
      <w:pPr>
        <w:pStyle w:val="ListParagraph"/>
        <w:numPr>
          <w:ilvl w:val="0"/>
          <w:numId w:val="11"/>
        </w:numPr>
      </w:pPr>
      <w:r>
        <w:t xml:space="preserve">Assessing contaminants of emerging concern (such as </w:t>
      </w:r>
      <w:r w:rsidR="00C47145">
        <w:t xml:space="preserve">per and polyfluoroalkyl substances </w:t>
      </w:r>
      <w:r w:rsidR="00EF61F9">
        <w:t>[</w:t>
      </w:r>
      <w:r>
        <w:t>PFAS</w:t>
      </w:r>
      <w:r w:rsidR="00EF61F9">
        <w:t>]</w:t>
      </w:r>
      <w:r>
        <w:t xml:space="preserve"> and microplastics)</w:t>
      </w:r>
      <w:r w:rsidR="001770DA">
        <w:t>.</w:t>
      </w:r>
      <w:r>
        <w:t xml:space="preserve"> </w:t>
      </w:r>
    </w:p>
    <w:p w14:paraId="7A5127C9" w14:textId="4A16F673" w:rsidR="00146BF8" w:rsidRPr="0053406D" w:rsidRDefault="00173ECF" w:rsidP="00970F92">
      <w:pPr>
        <w:spacing w:after="0"/>
      </w:pPr>
      <w:r w:rsidRPr="0053406D">
        <w:t>The</w:t>
      </w:r>
      <w:r w:rsidR="0035547F">
        <w:t>se</w:t>
      </w:r>
      <w:r w:rsidRPr="0053406D">
        <w:t xml:space="preserve"> </w:t>
      </w:r>
      <w:r w:rsidR="00441C3C">
        <w:t xml:space="preserve">four </w:t>
      </w:r>
      <w:r w:rsidR="001770DA">
        <w:t xml:space="preserve">needs were </w:t>
      </w:r>
      <w:r w:rsidR="0053406D" w:rsidRPr="0053406D">
        <w:t>prioriti</w:t>
      </w:r>
      <w:r w:rsidR="001770DA">
        <w:t>zed by the TCW</w:t>
      </w:r>
      <w:r w:rsidR="0037767F">
        <w:t xml:space="preserve"> as follows, presented in priority order</w:t>
      </w:r>
      <w:r w:rsidRPr="0053406D">
        <w:t>:</w:t>
      </w:r>
    </w:p>
    <w:p w14:paraId="4CF941DE" w14:textId="59E5DF9C" w:rsidR="00146BF8" w:rsidRPr="00173ECF" w:rsidRDefault="00146BF8" w:rsidP="00970F92">
      <w:pPr>
        <w:pStyle w:val="ListParagraph"/>
        <w:numPr>
          <w:ilvl w:val="0"/>
          <w:numId w:val="5"/>
        </w:numPr>
        <w:spacing w:after="0"/>
      </w:pPr>
      <w:r w:rsidRPr="00173ECF">
        <w:t>PCBs and emerging contaminants (</w:t>
      </w:r>
      <w:r w:rsidR="0037767F">
        <w:t>specifically,</w:t>
      </w:r>
      <w:r w:rsidRPr="00173ECF">
        <w:t xml:space="preserve"> PFAS and microplastics) </w:t>
      </w:r>
    </w:p>
    <w:p w14:paraId="6EA754F5" w14:textId="1CCF8379" w:rsidR="00173ECF" w:rsidRDefault="0037767F" w:rsidP="00173ECF">
      <w:pPr>
        <w:pStyle w:val="ListParagraph"/>
        <w:numPr>
          <w:ilvl w:val="0"/>
          <w:numId w:val="5"/>
        </w:numPr>
      </w:pPr>
      <w:r>
        <w:t>C</w:t>
      </w:r>
      <w:r w:rsidR="00216CBA" w:rsidRPr="00173ECF">
        <w:t>ontaminants</w:t>
      </w:r>
      <w:r w:rsidR="00146BF8" w:rsidRPr="00173ECF">
        <w:t xml:space="preserve"> of </w:t>
      </w:r>
      <w:r w:rsidR="00F2427E" w:rsidRPr="00173ECF">
        <w:t>widespread concern (</w:t>
      </w:r>
      <w:r>
        <w:t xml:space="preserve">specifically, </w:t>
      </w:r>
      <w:r w:rsidR="00F2427E" w:rsidRPr="00173ECF">
        <w:t>pesticides</w:t>
      </w:r>
      <w:r w:rsidR="001770DA">
        <w:t>)</w:t>
      </w:r>
    </w:p>
    <w:p w14:paraId="15363C90" w14:textId="2B058A8C" w:rsidR="003535EF" w:rsidRPr="00173ECF" w:rsidRDefault="00146BF8" w:rsidP="00095229">
      <w:pPr>
        <w:pStyle w:val="ListParagraph"/>
        <w:numPr>
          <w:ilvl w:val="0"/>
          <w:numId w:val="5"/>
        </w:numPr>
      </w:pPr>
      <w:r w:rsidRPr="00173ECF">
        <w:t xml:space="preserve">Mercury </w:t>
      </w:r>
    </w:p>
    <w:p w14:paraId="4B3E9115" w14:textId="1E30C90A" w:rsidR="00E178E3" w:rsidRPr="007C6A65" w:rsidRDefault="00B701D7" w:rsidP="007C6A65">
      <w:pPr>
        <w:pStyle w:val="Heading2"/>
        <w:rPr>
          <w:b/>
          <w:bCs/>
        </w:rPr>
      </w:pPr>
      <w:r w:rsidRPr="007C6A65">
        <w:rPr>
          <w:b/>
          <w:bCs/>
        </w:rPr>
        <w:t xml:space="preserve">Section 2: </w:t>
      </w:r>
      <w:r w:rsidR="00227914" w:rsidRPr="007C6A65">
        <w:rPr>
          <w:b/>
          <w:bCs/>
        </w:rPr>
        <w:t>Monitoring Objectives</w:t>
      </w:r>
    </w:p>
    <w:p w14:paraId="2E421A4C" w14:textId="5601DC5F" w:rsidR="00091070" w:rsidRDefault="001770DA" w:rsidP="00186CB1">
      <w:pPr>
        <w:spacing w:after="0"/>
      </w:pPr>
      <w:r>
        <w:t>T</w:t>
      </w:r>
      <w:r w:rsidR="00970F92">
        <w:t xml:space="preserve">he TCW developed </w:t>
      </w:r>
      <w:r>
        <w:t xml:space="preserve">an </w:t>
      </w:r>
      <w:r w:rsidR="00CF6A52">
        <w:t xml:space="preserve">initial objective for each </w:t>
      </w:r>
      <w:r w:rsidR="00553515">
        <w:t xml:space="preserve">monitoring </w:t>
      </w:r>
      <w:r w:rsidR="00CF6A52">
        <w:t>need</w:t>
      </w:r>
      <w:r w:rsidR="00553515">
        <w:t xml:space="preserve">: </w:t>
      </w:r>
      <w:r w:rsidR="00970F92">
        <w:t xml:space="preserve"> </w:t>
      </w:r>
    </w:p>
    <w:p w14:paraId="668C2155" w14:textId="26708DE9" w:rsidR="00D16DAF" w:rsidRPr="00EF61F9" w:rsidRDefault="00761C62" w:rsidP="00186CB1">
      <w:pPr>
        <w:pStyle w:val="ListParagraph"/>
        <w:numPr>
          <w:ilvl w:val="0"/>
          <w:numId w:val="12"/>
        </w:numPr>
        <w:spacing w:after="0"/>
      </w:pPr>
      <w:r w:rsidRPr="00A64BED">
        <w:t>Enhance PCB monitoring to establish current conditions and determine if remediation or management actions are resulting in downstream reductions of PCBs</w:t>
      </w:r>
      <w:r w:rsidR="00D16DAF" w:rsidRPr="00EF61F9">
        <w:t>.</w:t>
      </w:r>
      <w:r w:rsidRPr="00A64BED">
        <w:t xml:space="preserve"> </w:t>
      </w:r>
    </w:p>
    <w:p w14:paraId="583D958A" w14:textId="3F30E95A" w:rsidR="0028336B" w:rsidRPr="00EF61F9" w:rsidRDefault="00970F92" w:rsidP="00186CB1">
      <w:pPr>
        <w:pStyle w:val="ListParagraph"/>
        <w:numPr>
          <w:ilvl w:val="0"/>
          <w:numId w:val="12"/>
        </w:numPr>
        <w:spacing w:after="0"/>
      </w:pPr>
      <w:r w:rsidRPr="00EF61F9">
        <w:t xml:space="preserve">Determine occurrence or status of PFAS and microplastics in surface waters of the major tributaries of the </w:t>
      </w:r>
      <w:r w:rsidR="00EF61F9">
        <w:t>Chesapeake Bay</w:t>
      </w:r>
      <w:r w:rsidRPr="00EF61F9">
        <w:t xml:space="preserve"> with varied land use to establish a baseline to track concentration and loading changes through time using consistent methods and </w:t>
      </w:r>
      <w:r w:rsidR="00094ED3" w:rsidRPr="00073B66">
        <w:t>analyses</w:t>
      </w:r>
      <w:r w:rsidRPr="00EF61F9">
        <w:t>.</w:t>
      </w:r>
    </w:p>
    <w:p w14:paraId="4FD0FA76" w14:textId="404D71F6" w:rsidR="00970F92" w:rsidRPr="00EF61F9" w:rsidRDefault="00970F92" w:rsidP="00970F92">
      <w:pPr>
        <w:pStyle w:val="ListParagraph"/>
        <w:numPr>
          <w:ilvl w:val="0"/>
          <w:numId w:val="12"/>
        </w:numPr>
      </w:pPr>
      <w:r w:rsidRPr="00EF61F9">
        <w:t>Determine if implementation of BMPs and conservation practices over time results in declines in pesticide concentrations using a prioritized/standardized list of pesticides, and consistent sampling and analytical methods.</w:t>
      </w:r>
    </w:p>
    <w:p w14:paraId="7619B8E4" w14:textId="1DF08469" w:rsidR="00970F92" w:rsidRPr="00EF61F9" w:rsidRDefault="00AF0CCC" w:rsidP="00970F92">
      <w:pPr>
        <w:pStyle w:val="ListParagraph"/>
        <w:numPr>
          <w:ilvl w:val="0"/>
          <w:numId w:val="12"/>
        </w:numPr>
        <w:rPr>
          <w:u w:val="single"/>
        </w:rPr>
      </w:pPr>
      <w:r>
        <w:t>Determine if</w:t>
      </w:r>
      <w:r w:rsidR="00970F92" w:rsidRPr="00EF61F9">
        <w:t xml:space="preserve"> reductions in air deposition of mercury reflected in fish tissue declines, specifically focused on food/recreational fish trends in urban and non-urban areas</w:t>
      </w:r>
      <w:r w:rsidR="00553515" w:rsidRPr="00EF61F9">
        <w:t>.</w:t>
      </w:r>
    </w:p>
    <w:p w14:paraId="323B1950" w14:textId="73B4C15B" w:rsidR="00553515" w:rsidRDefault="00553515" w:rsidP="00553515">
      <w:r>
        <w:t xml:space="preserve">The TCW decided to focus </w:t>
      </w:r>
      <w:r w:rsidR="00CF6A52">
        <w:t xml:space="preserve">efforts </w:t>
      </w:r>
      <w:r>
        <w:t xml:space="preserve">on the first objective </w:t>
      </w:r>
      <w:r w:rsidR="00CF6A52">
        <w:t>for</w:t>
      </w:r>
      <w:r>
        <w:t xml:space="preserve"> PCBs since it was one of highest priority needs. The other high priority </w:t>
      </w:r>
      <w:r w:rsidR="00AF0CCC">
        <w:t xml:space="preserve">need </w:t>
      </w:r>
      <w:r>
        <w:t>for emerging contaminants</w:t>
      </w:r>
      <w:r w:rsidR="00441C3C">
        <w:t xml:space="preserve"> </w:t>
      </w:r>
      <w:r w:rsidR="00875C62">
        <w:t>is</w:t>
      </w:r>
      <w:r w:rsidR="00441C3C">
        <w:t xml:space="preserve"> </w:t>
      </w:r>
      <w:r>
        <w:t>being addressed</w:t>
      </w:r>
      <w:r w:rsidR="00CF6A52">
        <w:t xml:space="preserve"> </w:t>
      </w:r>
      <w:r w:rsidR="00AF0CCC">
        <w:t>through other efforts including</w:t>
      </w:r>
      <w:r w:rsidR="00CF6A52">
        <w:t xml:space="preserve"> </w:t>
      </w:r>
      <w:r w:rsidR="00CF6A52" w:rsidRPr="00EF61F9">
        <w:t>(1)</w:t>
      </w:r>
      <w:r w:rsidRPr="00EF61F9">
        <w:t xml:space="preserve"> </w:t>
      </w:r>
      <w:r w:rsidR="00CF6A52" w:rsidRPr="00EF61F9">
        <w:t>a</w:t>
      </w:r>
      <w:r w:rsidRPr="00EF61F9">
        <w:t xml:space="preserve"> CBP </w:t>
      </w:r>
      <w:r w:rsidR="006D1A21" w:rsidRPr="00EF61F9">
        <w:t xml:space="preserve">plastic pollution action team </w:t>
      </w:r>
      <w:r w:rsidR="00875C62" w:rsidRPr="00EF61F9">
        <w:t>(</w:t>
      </w:r>
      <w:r w:rsidR="006D1A21" w:rsidRPr="00EF61F9">
        <w:t>monitoring for microplastics</w:t>
      </w:r>
      <w:r w:rsidR="00875C62" w:rsidRPr="00EF61F9">
        <w:t>)</w:t>
      </w:r>
      <w:r w:rsidR="00CF6A52" w:rsidRPr="00EF61F9">
        <w:t>,</w:t>
      </w:r>
      <w:r w:rsidR="006D1A21" w:rsidRPr="00EF61F9">
        <w:t xml:space="preserve"> and </w:t>
      </w:r>
      <w:r w:rsidR="00CF6A52" w:rsidRPr="00EF61F9">
        <w:t xml:space="preserve">(2) </w:t>
      </w:r>
      <w:r w:rsidR="006D1A21" w:rsidRPr="00EF61F9">
        <w:t>a</w:t>
      </w:r>
      <w:r w:rsidR="00875C62" w:rsidRPr="00EF61F9">
        <w:t>n upcoming</w:t>
      </w:r>
      <w:r w:rsidR="006D1A21" w:rsidRPr="00EF61F9">
        <w:t xml:space="preserve"> STA</w:t>
      </w:r>
      <w:r w:rsidR="00187E88" w:rsidRPr="00EF61F9">
        <w:t>C</w:t>
      </w:r>
      <w:r w:rsidR="006D1A21" w:rsidRPr="00EF61F9">
        <w:t xml:space="preserve"> workshop </w:t>
      </w:r>
      <w:r w:rsidR="00AF0CCC">
        <w:t xml:space="preserve">with a </w:t>
      </w:r>
      <w:r w:rsidR="00875C62" w:rsidRPr="00EF61F9">
        <w:t xml:space="preserve">focus on </w:t>
      </w:r>
      <w:r w:rsidR="00CF6A52" w:rsidRPr="00EF61F9">
        <w:t>PF</w:t>
      </w:r>
      <w:r w:rsidR="006D1A21" w:rsidRPr="00EF61F9">
        <w:t>AS monitoring.</w:t>
      </w:r>
      <w:r w:rsidR="006D1A21">
        <w:t xml:space="preserve"> </w:t>
      </w:r>
    </w:p>
    <w:p w14:paraId="6E510467" w14:textId="20AFF605" w:rsidR="00CF6A52" w:rsidRDefault="00095229" w:rsidP="00553515">
      <w:pPr>
        <w:rPr>
          <w:rFonts w:cstheme="minorHAnsi"/>
          <w:i/>
          <w:iCs/>
          <w:color w:val="000000" w:themeColor="text1"/>
        </w:rPr>
      </w:pPr>
      <w:bookmarkStart w:id="1" w:name="_Hlk87346810"/>
      <w:r>
        <w:t>The PCB objective was expanded to have multi-pronged approach with several inter-related components (</w:t>
      </w:r>
      <w:r w:rsidR="009D749D">
        <w:t xml:space="preserve">Figure </w:t>
      </w:r>
      <w:r w:rsidR="00186CB1">
        <w:t>2)</w:t>
      </w:r>
      <w:bookmarkEnd w:id="1"/>
      <w:r w:rsidR="00CF6A52">
        <w:t xml:space="preserve">: </w:t>
      </w:r>
      <w:r w:rsidR="00CF6A52" w:rsidRPr="00CF6A52">
        <w:rPr>
          <w:i/>
          <w:iCs/>
          <w:color w:val="000000" w:themeColor="text1"/>
        </w:rPr>
        <w:t>“</w:t>
      </w:r>
      <w:r w:rsidR="00CF6A52" w:rsidRPr="00CF6A52">
        <w:rPr>
          <w:rFonts w:cstheme="minorHAnsi"/>
          <w:i/>
          <w:iCs/>
          <w:color w:val="000000" w:themeColor="text1"/>
        </w:rPr>
        <w:t>Enhance PCB monitoring to (1)</w:t>
      </w:r>
      <w:r w:rsidR="00F93586">
        <w:rPr>
          <w:rFonts w:cstheme="minorHAnsi"/>
          <w:i/>
          <w:iCs/>
          <w:color w:val="000000" w:themeColor="text1"/>
        </w:rPr>
        <w:t xml:space="preserve"> establish</w:t>
      </w:r>
      <w:r w:rsidR="00CF6A52" w:rsidRPr="00CF6A52">
        <w:rPr>
          <w:rFonts w:cstheme="minorHAnsi"/>
          <w:i/>
          <w:iCs/>
          <w:color w:val="000000" w:themeColor="text1"/>
        </w:rPr>
        <w:t xml:space="preserve"> current </w:t>
      </w:r>
      <w:r w:rsidR="00E03C00">
        <w:rPr>
          <w:rFonts w:cstheme="minorHAnsi"/>
          <w:i/>
          <w:iCs/>
          <w:color w:val="000000" w:themeColor="text1"/>
        </w:rPr>
        <w:t xml:space="preserve">baseline </w:t>
      </w:r>
      <w:r w:rsidR="00CF6A52" w:rsidRPr="00CF6A52">
        <w:rPr>
          <w:rFonts w:cstheme="minorHAnsi"/>
          <w:i/>
          <w:iCs/>
          <w:color w:val="000000" w:themeColor="text1"/>
        </w:rPr>
        <w:t>conditions</w:t>
      </w:r>
      <w:r w:rsidR="00E03C00">
        <w:rPr>
          <w:rFonts w:cstheme="minorHAnsi"/>
          <w:i/>
          <w:iCs/>
          <w:color w:val="000000" w:themeColor="text1"/>
        </w:rPr>
        <w:t xml:space="preserve"> and identify impairments</w:t>
      </w:r>
      <w:r w:rsidR="00CF6A52" w:rsidRPr="00CF6A52">
        <w:rPr>
          <w:rFonts w:cstheme="minorHAnsi"/>
          <w:i/>
          <w:iCs/>
          <w:color w:val="000000" w:themeColor="text1"/>
        </w:rPr>
        <w:t xml:space="preserve">, (2) help </w:t>
      </w:r>
      <w:r w:rsidR="00D16DAF">
        <w:rPr>
          <w:rFonts w:cstheme="minorHAnsi"/>
          <w:i/>
          <w:iCs/>
          <w:color w:val="000000" w:themeColor="text1"/>
        </w:rPr>
        <w:t>refine previously identified</w:t>
      </w:r>
      <w:r w:rsidR="00D16DAF" w:rsidRPr="00CF6A52">
        <w:rPr>
          <w:rFonts w:cstheme="minorHAnsi"/>
          <w:i/>
          <w:iCs/>
          <w:color w:val="000000" w:themeColor="text1"/>
        </w:rPr>
        <w:t xml:space="preserve"> </w:t>
      </w:r>
      <w:r w:rsidR="00CF6A52" w:rsidRPr="00CF6A52">
        <w:rPr>
          <w:rFonts w:cstheme="minorHAnsi"/>
          <w:i/>
          <w:iCs/>
          <w:color w:val="000000" w:themeColor="text1"/>
        </w:rPr>
        <w:t>sources, (3) determine PCB response</w:t>
      </w:r>
      <w:r w:rsidR="0035547F">
        <w:rPr>
          <w:rFonts w:cstheme="minorHAnsi"/>
          <w:i/>
          <w:iCs/>
          <w:color w:val="000000" w:themeColor="text1"/>
        </w:rPr>
        <w:t xml:space="preserve"> </w:t>
      </w:r>
      <w:r w:rsidR="00441C3C">
        <w:rPr>
          <w:rFonts w:cstheme="minorHAnsi"/>
          <w:i/>
          <w:iCs/>
          <w:color w:val="000000" w:themeColor="text1"/>
        </w:rPr>
        <w:t xml:space="preserve">to mitigation efforts </w:t>
      </w:r>
      <w:r w:rsidR="00CF6A52" w:rsidRPr="00CF6A52">
        <w:rPr>
          <w:rFonts w:cstheme="minorHAnsi"/>
          <w:i/>
          <w:iCs/>
          <w:color w:val="000000" w:themeColor="text1"/>
        </w:rPr>
        <w:t>and (4)</w:t>
      </w:r>
      <w:r w:rsidR="00CF6A52">
        <w:rPr>
          <w:rFonts w:cstheme="minorHAnsi"/>
          <w:i/>
          <w:iCs/>
          <w:color w:val="000000" w:themeColor="text1"/>
        </w:rPr>
        <w:t xml:space="preserve"> </w:t>
      </w:r>
      <w:r w:rsidR="006A4C11">
        <w:rPr>
          <w:rFonts w:cstheme="minorHAnsi"/>
          <w:i/>
          <w:iCs/>
          <w:color w:val="000000" w:themeColor="text1"/>
        </w:rPr>
        <w:t>assess</w:t>
      </w:r>
      <w:r w:rsidR="00441C3C">
        <w:rPr>
          <w:rFonts w:cstheme="minorHAnsi"/>
          <w:i/>
          <w:iCs/>
          <w:color w:val="000000" w:themeColor="text1"/>
        </w:rPr>
        <w:t xml:space="preserve"> fish conditions </w:t>
      </w:r>
      <w:r w:rsidR="009D749D">
        <w:rPr>
          <w:rFonts w:cstheme="minorHAnsi"/>
          <w:i/>
          <w:iCs/>
          <w:color w:val="000000" w:themeColor="text1"/>
        </w:rPr>
        <w:t xml:space="preserve">in </w:t>
      </w:r>
      <w:r w:rsidR="00441C3C">
        <w:rPr>
          <w:rFonts w:cstheme="minorHAnsi"/>
          <w:i/>
          <w:iCs/>
          <w:color w:val="000000" w:themeColor="text1"/>
        </w:rPr>
        <w:t xml:space="preserve">relation to consumption thresholds. </w:t>
      </w:r>
    </w:p>
    <w:p w14:paraId="54899002" w14:textId="77777777" w:rsidR="007C6A65" w:rsidRDefault="007C6A65" w:rsidP="00553515">
      <w:pPr>
        <w:rPr>
          <w:rFonts w:cstheme="minorHAnsi"/>
          <w:bCs/>
        </w:rPr>
      </w:pPr>
      <w:r>
        <w:rPr>
          <w:rFonts w:cstheme="minorHAnsi"/>
          <w:bCs/>
          <w:noProof/>
        </w:rPr>
        <w:lastRenderedPageBreak/>
        <w:drawing>
          <wp:inline distT="0" distB="0" distL="0" distR="0" wp14:anchorId="34A0A4E1" wp14:editId="16378F62">
            <wp:extent cx="5579269" cy="20288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6867" cy="2086134"/>
                    </a:xfrm>
                    <a:prstGeom prst="rect">
                      <a:avLst/>
                    </a:prstGeom>
                    <a:noFill/>
                  </pic:spPr>
                </pic:pic>
              </a:graphicData>
            </a:graphic>
          </wp:inline>
        </w:drawing>
      </w:r>
    </w:p>
    <w:p w14:paraId="7C1EB077" w14:textId="290C363D" w:rsidR="00186CB1" w:rsidRDefault="00186CB1" w:rsidP="00553515">
      <w:pPr>
        <w:rPr>
          <w:rFonts w:cstheme="minorHAnsi"/>
          <w:bCs/>
        </w:rPr>
      </w:pPr>
      <w:r w:rsidRPr="00186CB1">
        <w:rPr>
          <w:rFonts w:cstheme="minorHAnsi"/>
          <w:bCs/>
        </w:rPr>
        <w:t xml:space="preserve">Figure 2: </w:t>
      </w:r>
      <w:r w:rsidR="00B701D7">
        <w:rPr>
          <w:rFonts w:cstheme="minorHAnsi"/>
          <w:bCs/>
        </w:rPr>
        <w:t>C</w:t>
      </w:r>
      <w:r w:rsidRPr="00186CB1">
        <w:rPr>
          <w:rFonts w:cstheme="minorHAnsi"/>
          <w:bCs/>
        </w:rPr>
        <w:t xml:space="preserve">omponents of the </w:t>
      </w:r>
      <w:r w:rsidR="00B701D7">
        <w:rPr>
          <w:rFonts w:cstheme="minorHAnsi"/>
          <w:bCs/>
        </w:rPr>
        <w:t xml:space="preserve">PCB </w:t>
      </w:r>
      <w:r w:rsidRPr="00186CB1">
        <w:rPr>
          <w:rFonts w:cstheme="minorHAnsi"/>
          <w:bCs/>
        </w:rPr>
        <w:t xml:space="preserve">monitoring objective. </w:t>
      </w:r>
    </w:p>
    <w:p w14:paraId="7FA58114" w14:textId="77777777" w:rsidR="007C6A65" w:rsidRPr="007C6A65" w:rsidRDefault="00B701D7" w:rsidP="007C6A65">
      <w:pPr>
        <w:pStyle w:val="Heading2"/>
        <w:rPr>
          <w:b/>
          <w:bCs/>
        </w:rPr>
      </w:pPr>
      <w:r w:rsidRPr="007C6A65">
        <w:rPr>
          <w:b/>
          <w:bCs/>
        </w:rPr>
        <w:t>Section 3</w:t>
      </w:r>
      <w:r w:rsidRPr="007C6A65">
        <w:rPr>
          <w:b/>
          <w:bCs/>
          <w:i/>
          <w:iCs/>
        </w:rPr>
        <w:t xml:space="preserve">: </w:t>
      </w:r>
      <w:r w:rsidR="007C6A65" w:rsidRPr="007C6A65">
        <w:rPr>
          <w:b/>
          <w:bCs/>
        </w:rPr>
        <w:t>Existing Monitoring that Support the Objective and Remaining Gaps</w:t>
      </w:r>
    </w:p>
    <w:p w14:paraId="3FFDE196" w14:textId="03D295B8" w:rsidR="006D1A21" w:rsidRDefault="00F52796" w:rsidP="007A7B8E">
      <w:r>
        <w:t xml:space="preserve">A data inventory for PCBs was conducted by USGS and additional information was requested from each jurisdiction and federal partners related to the components of the monitoring objective. </w:t>
      </w:r>
      <w:r w:rsidR="00B701D7">
        <w:t>Some of the findings are summarized below</w:t>
      </w:r>
      <w:r w:rsidR="00DB5FD5">
        <w:t xml:space="preserve"> and are presented in accordance with </w:t>
      </w:r>
      <w:r w:rsidR="003535EF">
        <w:t>F</w:t>
      </w:r>
      <w:r w:rsidR="00DB5FD5">
        <w:t xml:space="preserve">igure 2 topics (shown in </w:t>
      </w:r>
      <w:r w:rsidR="00AF0CCC">
        <w:t xml:space="preserve">underlined </w:t>
      </w:r>
      <w:r w:rsidR="00DB5FD5">
        <w:t xml:space="preserve">italics in </w:t>
      </w:r>
      <w:r w:rsidR="00AF0CCC">
        <w:t xml:space="preserve">the </w:t>
      </w:r>
      <w:r w:rsidR="00DB5FD5">
        <w:t>paragraphs below)</w:t>
      </w:r>
      <w:r w:rsidR="00B701D7">
        <w:t xml:space="preserve">. </w:t>
      </w:r>
    </w:p>
    <w:p w14:paraId="071C0D0B" w14:textId="2970B3F5" w:rsidR="00F52796" w:rsidRPr="00B701D7" w:rsidRDefault="007A7B8E" w:rsidP="00F52796">
      <w:r w:rsidRPr="003535EF">
        <w:rPr>
          <w:i/>
          <w:iCs/>
          <w:noProof/>
          <w:u w:val="single"/>
        </w:rPr>
        <w:t>Asses</w:t>
      </w:r>
      <w:r w:rsidR="00ED662A" w:rsidRPr="003535EF">
        <w:rPr>
          <w:i/>
          <w:iCs/>
          <w:noProof/>
          <w:u w:val="single"/>
        </w:rPr>
        <w:t>s</w:t>
      </w:r>
      <w:r w:rsidRPr="003535EF">
        <w:rPr>
          <w:i/>
          <w:iCs/>
          <w:noProof/>
          <w:u w:val="single"/>
        </w:rPr>
        <w:t xml:space="preserve"> current conditions</w:t>
      </w:r>
      <w:r w:rsidRPr="00B701D7">
        <w:rPr>
          <w:i/>
          <w:iCs/>
          <w:noProof/>
        </w:rPr>
        <w:t>:</w:t>
      </w:r>
      <w:r w:rsidRPr="00B701D7">
        <w:rPr>
          <w:noProof/>
        </w:rPr>
        <w:t xml:space="preserve"> </w:t>
      </w:r>
      <w:r w:rsidR="00361A6C">
        <w:rPr>
          <w:noProof/>
        </w:rPr>
        <w:t>Fish Tissue m</w:t>
      </w:r>
      <w:r w:rsidRPr="00B701D7">
        <w:rPr>
          <w:noProof/>
        </w:rPr>
        <w:t xml:space="preserve">onitoring is </w:t>
      </w:r>
      <w:r w:rsidR="00F52796" w:rsidRPr="00B701D7">
        <w:rPr>
          <w:noProof/>
        </w:rPr>
        <w:t xml:space="preserve">done by all the </w:t>
      </w:r>
      <w:r w:rsidR="00186CB1" w:rsidRPr="00B701D7">
        <w:rPr>
          <w:noProof/>
        </w:rPr>
        <w:t>jurisiction</w:t>
      </w:r>
      <w:r w:rsidR="00F52796" w:rsidRPr="00B701D7">
        <w:rPr>
          <w:noProof/>
        </w:rPr>
        <w:t>s to assess current cond</w:t>
      </w:r>
      <w:r w:rsidR="0056044A">
        <w:rPr>
          <w:noProof/>
        </w:rPr>
        <w:t>i</w:t>
      </w:r>
      <w:r w:rsidR="00F52796" w:rsidRPr="00B701D7">
        <w:rPr>
          <w:noProof/>
        </w:rPr>
        <w:t>tions</w:t>
      </w:r>
      <w:r w:rsidR="00ED662A">
        <w:rPr>
          <w:noProof/>
        </w:rPr>
        <w:t xml:space="preserve"> and</w:t>
      </w:r>
      <w:r w:rsidR="00EF61F9">
        <w:rPr>
          <w:noProof/>
        </w:rPr>
        <w:t xml:space="preserve"> to</w:t>
      </w:r>
      <w:r w:rsidR="00ED662A">
        <w:rPr>
          <w:noProof/>
        </w:rPr>
        <w:t xml:space="preserve"> track progress</w:t>
      </w:r>
      <w:r w:rsidR="003535EF">
        <w:rPr>
          <w:noProof/>
        </w:rPr>
        <w:t xml:space="preserve"> for fish consumption advisories</w:t>
      </w:r>
      <w:r w:rsidR="00F52796" w:rsidRPr="00B701D7">
        <w:rPr>
          <w:noProof/>
        </w:rPr>
        <w:t xml:space="preserve">. </w:t>
      </w:r>
      <w:r w:rsidRPr="00B701D7">
        <w:rPr>
          <w:noProof/>
        </w:rPr>
        <w:t xml:space="preserve">Sampling is usually done on a rotational basis to cover an entire jurisdctions every several years. </w:t>
      </w:r>
      <w:r w:rsidR="00F52796" w:rsidRPr="00B701D7">
        <w:rPr>
          <w:rFonts w:eastAsia="Times New Roman"/>
          <w:color w:val="000000"/>
        </w:rPr>
        <w:t>These results are used to</w:t>
      </w:r>
      <w:r w:rsidR="00E03C00">
        <w:rPr>
          <w:rFonts w:eastAsia="Times New Roman"/>
          <w:color w:val="000000"/>
        </w:rPr>
        <w:t xml:space="preserve"> establish baseline conditions and</w:t>
      </w:r>
      <w:r w:rsidR="00F52796" w:rsidRPr="00B701D7">
        <w:rPr>
          <w:rFonts w:eastAsia="Times New Roman"/>
          <w:color w:val="000000"/>
        </w:rPr>
        <w:t xml:space="preserve"> identify impaired waters in each state (</w:t>
      </w:r>
      <w:r w:rsidR="00DB5FD5">
        <w:rPr>
          <w:rFonts w:eastAsia="Times New Roman"/>
          <w:color w:val="000000"/>
        </w:rPr>
        <w:t>Figure 3</w:t>
      </w:r>
      <w:r w:rsidR="00F52796" w:rsidRPr="00B701D7">
        <w:rPr>
          <w:rFonts w:eastAsia="Times New Roman"/>
          <w:color w:val="000000"/>
        </w:rPr>
        <w:t>a), that is updated every two years, and development of local TMDLs to address the impairments (</w:t>
      </w:r>
      <w:r w:rsidR="00DB5FD5">
        <w:rPr>
          <w:rFonts w:eastAsia="Times New Roman"/>
          <w:color w:val="000000"/>
        </w:rPr>
        <w:t>Figure 3</w:t>
      </w:r>
      <w:r w:rsidR="00F52796" w:rsidRPr="00B701D7">
        <w:rPr>
          <w:rFonts w:eastAsia="Times New Roman"/>
          <w:color w:val="000000"/>
        </w:rPr>
        <w:t>b).</w:t>
      </w:r>
      <w:r w:rsidR="00441C3C">
        <w:rPr>
          <w:rFonts w:eastAsia="Times New Roman"/>
          <w:color w:val="000000"/>
        </w:rPr>
        <w:t xml:space="preserve"> In selected places wi</w:t>
      </w:r>
      <w:r w:rsidR="00E6132A">
        <w:rPr>
          <w:rFonts w:eastAsia="Times New Roman"/>
          <w:color w:val="000000"/>
        </w:rPr>
        <w:t>th impairments</w:t>
      </w:r>
      <w:r w:rsidR="00441C3C">
        <w:rPr>
          <w:rFonts w:eastAsia="Times New Roman"/>
          <w:color w:val="000000"/>
        </w:rPr>
        <w:t xml:space="preserve">, additional sampling is often conducted </w:t>
      </w:r>
      <w:r w:rsidR="00E6132A">
        <w:rPr>
          <w:rFonts w:eastAsia="Times New Roman"/>
          <w:color w:val="000000"/>
        </w:rPr>
        <w:t xml:space="preserve">to help develop </w:t>
      </w:r>
      <w:r w:rsidR="00187E88">
        <w:rPr>
          <w:rFonts w:eastAsia="Times New Roman"/>
          <w:color w:val="000000"/>
        </w:rPr>
        <w:t xml:space="preserve">and implement </w:t>
      </w:r>
      <w:r w:rsidR="00E6132A">
        <w:rPr>
          <w:rFonts w:eastAsia="Times New Roman"/>
          <w:color w:val="000000"/>
        </w:rPr>
        <w:t xml:space="preserve">a local TMDL. </w:t>
      </w:r>
    </w:p>
    <w:p w14:paraId="3C35A531" w14:textId="59E2F021" w:rsidR="00DF3B1B" w:rsidRDefault="00BA6A33" w:rsidP="00DF3B1B">
      <w:pPr>
        <w:rPr>
          <w:noProof/>
        </w:rPr>
      </w:pPr>
      <w:r>
        <w:rPr>
          <w:noProof/>
        </w:rPr>
        <w:drawing>
          <wp:inline distT="0" distB="0" distL="0" distR="0" wp14:anchorId="17E0BC72" wp14:editId="7F34BCD0">
            <wp:extent cx="1823142" cy="28649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57260" cy="2918552"/>
                    </a:xfrm>
                    <a:prstGeom prst="rect">
                      <a:avLst/>
                    </a:prstGeom>
                  </pic:spPr>
                </pic:pic>
              </a:graphicData>
            </a:graphic>
          </wp:inline>
        </w:drawing>
      </w:r>
      <w:r w:rsidRPr="00BA6A33">
        <w:rPr>
          <w:noProof/>
        </w:rPr>
        <w:t xml:space="preserve"> </w:t>
      </w:r>
      <w:r>
        <w:rPr>
          <w:noProof/>
        </w:rPr>
        <w:drawing>
          <wp:inline distT="0" distB="0" distL="0" distR="0" wp14:anchorId="0E467E4C" wp14:editId="615652D5">
            <wp:extent cx="1813106" cy="2849167"/>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38792" cy="2889531"/>
                    </a:xfrm>
                    <a:prstGeom prst="rect">
                      <a:avLst/>
                    </a:prstGeom>
                  </pic:spPr>
                </pic:pic>
              </a:graphicData>
            </a:graphic>
          </wp:inline>
        </w:drawing>
      </w:r>
    </w:p>
    <w:p w14:paraId="7222F707" w14:textId="1F94A4CC" w:rsidR="00EF6F4E" w:rsidRDefault="00893B67" w:rsidP="00DF3B1B">
      <w:pPr>
        <w:rPr>
          <w:noProof/>
        </w:rPr>
      </w:pPr>
      <w:r>
        <w:rPr>
          <w:noProof/>
        </w:rPr>
        <w:t>Figure 3</w:t>
      </w:r>
      <w:r w:rsidR="003535EF">
        <w:rPr>
          <w:noProof/>
        </w:rPr>
        <w:t>a (left panel)</w:t>
      </w:r>
      <w:r w:rsidR="00EF6F4E">
        <w:rPr>
          <w:noProof/>
        </w:rPr>
        <w:t xml:space="preserve">—impaired waters based on PCBs, </w:t>
      </w:r>
      <w:r w:rsidR="003535EF">
        <w:rPr>
          <w:noProof/>
        </w:rPr>
        <w:t>3</w:t>
      </w:r>
      <w:r w:rsidR="00EF6F4E">
        <w:rPr>
          <w:noProof/>
        </w:rPr>
        <w:t>b</w:t>
      </w:r>
      <w:r w:rsidR="003535EF">
        <w:rPr>
          <w:noProof/>
        </w:rPr>
        <w:t xml:space="preserve"> (right panel)</w:t>
      </w:r>
      <w:r w:rsidR="00EF6F4E">
        <w:rPr>
          <w:noProof/>
        </w:rPr>
        <w:t xml:space="preserve">—TMDLs developed as of 2017. </w:t>
      </w:r>
    </w:p>
    <w:p w14:paraId="495E2C53" w14:textId="1DA8BF64" w:rsidR="00F52796" w:rsidRPr="00B701D7" w:rsidRDefault="00893B67" w:rsidP="00F52796">
      <w:r w:rsidRPr="003535EF">
        <w:rPr>
          <w:i/>
          <w:iCs/>
          <w:noProof/>
          <w:u w:val="single"/>
        </w:rPr>
        <w:t>R</w:t>
      </w:r>
      <w:r w:rsidR="00E15982" w:rsidRPr="003535EF">
        <w:rPr>
          <w:i/>
          <w:iCs/>
          <w:noProof/>
          <w:u w:val="single"/>
        </w:rPr>
        <w:t xml:space="preserve">efining </w:t>
      </w:r>
      <w:r w:rsidR="00DB5FD5" w:rsidRPr="003535EF">
        <w:rPr>
          <w:i/>
          <w:iCs/>
          <w:noProof/>
          <w:u w:val="single"/>
        </w:rPr>
        <w:t xml:space="preserve">known </w:t>
      </w:r>
      <w:r w:rsidRPr="003535EF">
        <w:rPr>
          <w:i/>
          <w:iCs/>
          <w:noProof/>
          <w:u w:val="single"/>
        </w:rPr>
        <w:t xml:space="preserve">and identifying unknown </w:t>
      </w:r>
      <w:r w:rsidR="00F52796" w:rsidRPr="003535EF">
        <w:rPr>
          <w:i/>
          <w:iCs/>
          <w:noProof/>
          <w:u w:val="single"/>
        </w:rPr>
        <w:t>sources</w:t>
      </w:r>
      <w:r w:rsidR="00F52796" w:rsidRPr="00B701D7">
        <w:rPr>
          <w:i/>
          <w:iCs/>
          <w:noProof/>
        </w:rPr>
        <w:t>:</w:t>
      </w:r>
      <w:r w:rsidR="00F52796" w:rsidRPr="00B701D7">
        <w:t xml:space="preserve"> If a PCB TMDL is developed to address an impairment, “track-back studies” are </w:t>
      </w:r>
      <w:r w:rsidR="00237412">
        <w:t xml:space="preserve">often employed </w:t>
      </w:r>
      <w:r w:rsidR="00F52796" w:rsidRPr="00B701D7">
        <w:t xml:space="preserve">to </w:t>
      </w:r>
      <w:r w:rsidR="00EF61F9">
        <w:t>refine</w:t>
      </w:r>
      <w:r w:rsidR="00EF61F9" w:rsidRPr="00B701D7">
        <w:t xml:space="preserve"> </w:t>
      </w:r>
      <w:r w:rsidR="00F52796" w:rsidRPr="00B701D7">
        <w:t xml:space="preserve">the </w:t>
      </w:r>
      <w:r w:rsidR="00237412">
        <w:t xml:space="preserve">driving </w:t>
      </w:r>
      <w:r w:rsidR="00F52796" w:rsidRPr="00B701D7">
        <w:t>sources</w:t>
      </w:r>
      <w:r w:rsidR="00EF61F9">
        <w:t xml:space="preserve"> (or identify unknown sources)</w:t>
      </w:r>
      <w:r w:rsidR="00F52796" w:rsidRPr="00B701D7">
        <w:t xml:space="preserve"> of PCBs</w:t>
      </w:r>
      <w:r w:rsidR="00237412">
        <w:t xml:space="preserve"> in a watershed</w:t>
      </w:r>
      <w:r w:rsidR="00F52796" w:rsidRPr="00B701D7">
        <w:t xml:space="preserve"> and better focus mitigation efforts. The number of </w:t>
      </w:r>
      <w:r>
        <w:t xml:space="preserve">current </w:t>
      </w:r>
      <w:r w:rsidR="00F52796" w:rsidRPr="00B701D7">
        <w:t xml:space="preserve">track-back studies vary by jurisdiction. For example, MD has a strong focus on track-back studies in selected places where TMDLs have been </w:t>
      </w:r>
      <w:r>
        <w:t>approv</w:t>
      </w:r>
      <w:r w:rsidRPr="00B701D7">
        <w:t>ed</w:t>
      </w:r>
      <w:r>
        <w:t xml:space="preserve"> </w:t>
      </w:r>
      <w:r w:rsidR="00E6132A">
        <w:t>and DC is conducting source studies in the Anacostia</w:t>
      </w:r>
      <w:r>
        <w:t xml:space="preserve"> watershed</w:t>
      </w:r>
      <w:r w:rsidR="00E6132A">
        <w:t>.</w:t>
      </w:r>
      <w:r w:rsidR="00F52796" w:rsidRPr="00B701D7">
        <w:t xml:space="preserve"> </w:t>
      </w:r>
      <w:r w:rsidR="00C87303">
        <w:t xml:space="preserve"> </w:t>
      </w:r>
      <w:r w:rsidR="00237412">
        <w:t>VA</w:t>
      </w:r>
      <w:r w:rsidR="00DB5FD5">
        <w:t xml:space="preserve"> currently has</w:t>
      </w:r>
      <w:r w:rsidR="00EF61F9">
        <w:t xml:space="preserve"> a significant focus on TMDL development</w:t>
      </w:r>
      <w:r w:rsidR="00237412">
        <w:t xml:space="preserve"> </w:t>
      </w:r>
      <w:r w:rsidR="00DB5FD5">
        <w:t>and has in some instances (such as the Potomac TMDL) identified loads associated with unknown sources that necessitate track-back studies</w:t>
      </w:r>
      <w:r>
        <w:t>, but these are just getting underway</w:t>
      </w:r>
      <w:r w:rsidR="00DB5FD5">
        <w:t>.</w:t>
      </w:r>
      <w:r w:rsidR="00E6132A">
        <w:t xml:space="preserve"> </w:t>
      </w:r>
      <w:r w:rsidR="00EF61F9">
        <w:t xml:space="preserve">No additional monitoring for PCBSs </w:t>
      </w:r>
      <w:r w:rsidR="00073B66">
        <w:t>is</w:t>
      </w:r>
      <w:r w:rsidR="00E6132A">
        <w:t xml:space="preserve"> planned at this time in PA. </w:t>
      </w:r>
    </w:p>
    <w:p w14:paraId="5E1A8E1B" w14:textId="63B47992" w:rsidR="00C87303" w:rsidRDefault="00F52796" w:rsidP="00F52796">
      <w:r w:rsidRPr="00073B66">
        <w:rPr>
          <w:i/>
          <w:iCs/>
          <w:noProof/>
          <w:u w:val="single"/>
        </w:rPr>
        <w:t>PCB respone to migitation actions.</w:t>
      </w:r>
      <w:r w:rsidRPr="00B701D7">
        <w:t xml:space="preserve"> In general, there is very limited monitoring for this component</w:t>
      </w:r>
      <w:r w:rsidR="00893B67">
        <w:t xml:space="preserve"> of the monitoring objective</w:t>
      </w:r>
      <w:r w:rsidR="00C87303">
        <w:t>,</w:t>
      </w:r>
      <w:r w:rsidR="00E6132A">
        <w:t xml:space="preserve"> </w:t>
      </w:r>
      <w:r w:rsidR="00C87303">
        <w:t>particularly at a scale of interest to the CBP (i.e., broader than a single contaminated site)</w:t>
      </w:r>
      <w:r w:rsidRPr="00B701D7">
        <w:t xml:space="preserve">. </w:t>
      </w:r>
      <w:r w:rsidR="00C87303">
        <w:t xml:space="preserve"> </w:t>
      </w:r>
      <w:r w:rsidR="00E6132A">
        <w:t xml:space="preserve">The primary reason is there are </w:t>
      </w:r>
      <w:r w:rsidR="0035547F">
        <w:t>l</w:t>
      </w:r>
      <w:r w:rsidR="00C87303">
        <w:t xml:space="preserve">imited management actions </w:t>
      </w:r>
      <w:r w:rsidR="00E6132A">
        <w:t xml:space="preserve">being implemented for PCB </w:t>
      </w:r>
      <w:r w:rsidR="00C87303">
        <w:t>at this time</w:t>
      </w:r>
      <w:r w:rsidR="0035547F">
        <w:t xml:space="preserve"> across the watershed</w:t>
      </w:r>
      <w:r w:rsidR="001050E2">
        <w:t>.</w:t>
      </w:r>
      <w:r w:rsidR="00C87303">
        <w:t xml:space="preserve">  </w:t>
      </w:r>
    </w:p>
    <w:p w14:paraId="0187CDB3" w14:textId="1D0725F1" w:rsidR="00F52796" w:rsidRPr="00B701D7" w:rsidRDefault="00F52796" w:rsidP="00F52796">
      <w:r w:rsidRPr="00B701D7">
        <w:t xml:space="preserve">Some </w:t>
      </w:r>
      <w:r w:rsidR="00893B67">
        <w:t>additional</w:t>
      </w:r>
      <w:r w:rsidRPr="00B701D7">
        <w:t xml:space="preserve"> considerations discussed by the TCW </w:t>
      </w:r>
      <w:proofErr w:type="gramStart"/>
      <w:r w:rsidR="00893B67">
        <w:t>in reference to</w:t>
      </w:r>
      <w:proofErr w:type="gramEnd"/>
      <w:r w:rsidR="00893B67">
        <w:t xml:space="preserve"> this portion of the monitoring objective (PCB response to mitigation actions) </w:t>
      </w:r>
      <w:r w:rsidRPr="00B701D7">
        <w:t xml:space="preserve">included: </w:t>
      </w:r>
    </w:p>
    <w:p w14:paraId="6EC5244A" w14:textId="77777777" w:rsidR="00F52796" w:rsidRPr="00B701D7" w:rsidRDefault="00F52796" w:rsidP="00F52796">
      <w:r w:rsidRPr="00B701D7">
        <w:t xml:space="preserve">(1) a regional approach to detecting changes in PCBs is not practical for the entire Bay watershed. </w:t>
      </w:r>
    </w:p>
    <w:p w14:paraId="26DC8D4C" w14:textId="236CBCDB" w:rsidR="00F52796" w:rsidRPr="00B701D7" w:rsidRDefault="00F52796" w:rsidP="00F52796">
      <w:r w:rsidRPr="00B701D7">
        <w:t xml:space="preserve">(2) </w:t>
      </w:r>
      <w:r w:rsidR="00187E88">
        <w:t>a</w:t>
      </w:r>
      <w:r w:rsidRPr="00B701D7">
        <w:t xml:space="preserve"> more </w:t>
      </w:r>
      <w:proofErr w:type="gramStart"/>
      <w:r w:rsidR="00C605FD">
        <w:t>geographically-</w:t>
      </w:r>
      <w:r w:rsidRPr="00B701D7">
        <w:t>targeted</w:t>
      </w:r>
      <w:proofErr w:type="gramEnd"/>
      <w:r w:rsidRPr="00B701D7">
        <w:t xml:space="preserve"> approach that focuse</w:t>
      </w:r>
      <w:r w:rsidR="0035547F">
        <w:t>s</w:t>
      </w:r>
      <w:r w:rsidRPr="00B701D7">
        <w:t xml:space="preserve"> on places where actions are being </w:t>
      </w:r>
      <w:r w:rsidR="00893B67">
        <w:t xml:space="preserve">or plan to be </w:t>
      </w:r>
      <w:r w:rsidRPr="00B701D7">
        <w:t>implemented to address a local TMDL</w:t>
      </w:r>
      <w:r w:rsidR="004F661A">
        <w:t xml:space="preserve"> (including gray infrastructure improvements),</w:t>
      </w:r>
      <w:r w:rsidR="0035547F">
        <w:t xml:space="preserve"> </w:t>
      </w:r>
      <w:r w:rsidR="00E6132A">
        <w:t xml:space="preserve">where </w:t>
      </w:r>
      <w:r w:rsidR="0035547F">
        <w:t xml:space="preserve">remediation </w:t>
      </w:r>
      <w:r w:rsidR="00E6132A">
        <w:t xml:space="preserve">has </w:t>
      </w:r>
      <w:r w:rsidR="0035547F">
        <w:t>occurred</w:t>
      </w:r>
      <w:r w:rsidR="004F661A">
        <w:t>, or a combination of these efforts</w:t>
      </w:r>
      <w:r w:rsidR="00C605FD">
        <w:t xml:space="preserve"> would be more practical</w:t>
      </w:r>
      <w:r w:rsidRPr="00B701D7">
        <w:t xml:space="preserve">. </w:t>
      </w:r>
    </w:p>
    <w:p w14:paraId="1C554C39" w14:textId="63BD660A" w:rsidR="00C605FD" w:rsidRPr="00095229" w:rsidRDefault="00F52796" w:rsidP="00DF3B1B">
      <w:pPr>
        <w:rPr>
          <w:rFonts w:eastAsia="Times New Roman"/>
          <w:color w:val="000000"/>
        </w:rPr>
      </w:pPr>
      <w:r w:rsidRPr="00095229">
        <w:rPr>
          <w:i/>
          <w:iCs/>
          <w:u w:val="single"/>
        </w:rPr>
        <w:t>Fish conditions</w:t>
      </w:r>
      <w:r w:rsidRPr="00B701D7">
        <w:rPr>
          <w:i/>
          <w:iCs/>
        </w:rPr>
        <w:t>:</w:t>
      </w:r>
      <w:r w:rsidRPr="00B701D7">
        <w:t xml:space="preserve"> Monitoring of PCBs in fish is usually done across a state through rotational sampling as part of their impaired waters identification</w:t>
      </w:r>
      <w:r w:rsidR="00C87303">
        <w:t xml:space="preserve"> and fish consumption advisories</w:t>
      </w:r>
      <w:r w:rsidRPr="00B701D7">
        <w:t xml:space="preserve">. </w:t>
      </w:r>
      <w:r w:rsidRPr="00B701D7">
        <w:rPr>
          <w:rFonts w:eastAsia="Times New Roman"/>
          <w:color w:val="000000"/>
        </w:rPr>
        <w:t xml:space="preserve">Each jurisdiction uses a PCB threshold level (which varies </w:t>
      </w:r>
      <w:r w:rsidR="00AA7313">
        <w:rPr>
          <w:rFonts w:eastAsia="Times New Roman"/>
          <w:color w:val="000000"/>
        </w:rPr>
        <w:t xml:space="preserve">between </w:t>
      </w:r>
      <w:r w:rsidRPr="00B701D7">
        <w:rPr>
          <w:rFonts w:eastAsia="Times New Roman"/>
          <w:color w:val="000000"/>
        </w:rPr>
        <w:t xml:space="preserve">jurisdictions) to issue fish consumption advisories. </w:t>
      </w:r>
      <w:r w:rsidR="004F661A">
        <w:rPr>
          <w:rFonts w:eastAsia="Times New Roman"/>
          <w:color w:val="000000"/>
        </w:rPr>
        <w:t xml:space="preserve"> In addition, TMDLs are based on the fish condition in the estuary, with sediment and surface water targets based on the </w:t>
      </w:r>
      <w:r w:rsidR="00C605FD">
        <w:rPr>
          <w:rFonts w:eastAsia="Times New Roman"/>
          <w:color w:val="000000"/>
        </w:rPr>
        <w:t xml:space="preserve">bioaccumulation modeling and criteria to meet the fishing </w:t>
      </w:r>
      <w:r w:rsidR="00D86750">
        <w:rPr>
          <w:rFonts w:eastAsia="Times New Roman"/>
          <w:color w:val="000000"/>
        </w:rPr>
        <w:t xml:space="preserve">designated use </w:t>
      </w:r>
      <w:r w:rsidR="00C605FD">
        <w:rPr>
          <w:rFonts w:eastAsia="Times New Roman"/>
          <w:color w:val="000000"/>
        </w:rPr>
        <w:t xml:space="preserve">for the waterway.  While the criteria may differ between states, all approved TMDLs in the </w:t>
      </w:r>
      <w:r w:rsidR="00893B67">
        <w:rPr>
          <w:rFonts w:eastAsia="Times New Roman"/>
          <w:color w:val="000000"/>
        </w:rPr>
        <w:t>Chesapeake Bay</w:t>
      </w:r>
      <w:r w:rsidR="00C605FD">
        <w:rPr>
          <w:rFonts w:eastAsia="Times New Roman"/>
          <w:color w:val="000000"/>
        </w:rPr>
        <w:t xml:space="preserve"> watershed are based on the fishing designation in the tidal estuary.</w:t>
      </w:r>
    </w:p>
    <w:p w14:paraId="7512AFF9" w14:textId="192CD801" w:rsidR="0028336B" w:rsidRPr="007C6A65" w:rsidRDefault="00B701D7" w:rsidP="007C6A65">
      <w:pPr>
        <w:pStyle w:val="Heading2"/>
        <w:rPr>
          <w:rFonts w:eastAsia="Times New Roman"/>
          <w:b/>
          <w:bCs/>
        </w:rPr>
      </w:pPr>
      <w:r w:rsidRPr="007C6A65">
        <w:rPr>
          <w:rFonts w:eastAsia="Times New Roman"/>
          <w:b/>
          <w:bCs/>
        </w:rPr>
        <w:t xml:space="preserve">Section 4: </w:t>
      </w:r>
      <w:r w:rsidR="0028336B" w:rsidRPr="007C6A65">
        <w:rPr>
          <w:rFonts w:eastAsia="Times New Roman"/>
          <w:b/>
          <w:bCs/>
        </w:rPr>
        <w:t xml:space="preserve">Remaining </w:t>
      </w:r>
      <w:r w:rsidR="00B82691" w:rsidRPr="007C6A65">
        <w:rPr>
          <w:rFonts w:eastAsia="Times New Roman"/>
          <w:b/>
          <w:bCs/>
        </w:rPr>
        <w:t>G</w:t>
      </w:r>
      <w:r w:rsidR="0028336B" w:rsidRPr="007C6A65">
        <w:rPr>
          <w:rFonts w:eastAsia="Times New Roman"/>
          <w:b/>
          <w:bCs/>
        </w:rPr>
        <w:t>aps </w:t>
      </w:r>
      <w:r w:rsidR="00F52796" w:rsidRPr="007C6A65">
        <w:rPr>
          <w:rFonts w:eastAsia="Times New Roman"/>
          <w:b/>
          <w:bCs/>
        </w:rPr>
        <w:t xml:space="preserve">to </w:t>
      </w:r>
      <w:r w:rsidR="00B82691" w:rsidRPr="007C6A65">
        <w:rPr>
          <w:rFonts w:eastAsia="Times New Roman"/>
          <w:b/>
          <w:bCs/>
        </w:rPr>
        <w:t>A</w:t>
      </w:r>
      <w:r w:rsidR="00F52796" w:rsidRPr="007C6A65">
        <w:rPr>
          <w:rFonts w:eastAsia="Times New Roman"/>
          <w:b/>
          <w:bCs/>
        </w:rPr>
        <w:t xml:space="preserve">ddress the </w:t>
      </w:r>
      <w:r w:rsidR="00B82691" w:rsidRPr="007C6A65">
        <w:rPr>
          <w:rFonts w:eastAsia="Times New Roman"/>
          <w:b/>
          <w:bCs/>
        </w:rPr>
        <w:t>O</w:t>
      </w:r>
      <w:r w:rsidR="00F52796" w:rsidRPr="007C6A65">
        <w:rPr>
          <w:rFonts w:eastAsia="Times New Roman"/>
          <w:b/>
          <w:bCs/>
        </w:rPr>
        <w:t xml:space="preserve">bjective </w:t>
      </w:r>
    </w:p>
    <w:p w14:paraId="07670DB5" w14:textId="77777777" w:rsidR="00E03C00" w:rsidRDefault="00EF6F4E" w:rsidP="00AD043A">
      <w:pPr>
        <w:rPr>
          <w:i/>
          <w:iCs/>
        </w:rPr>
      </w:pPr>
      <w:r w:rsidRPr="00B701D7">
        <w:t>With the current monitoring programs focused on assessing impaired waters</w:t>
      </w:r>
      <w:r w:rsidR="00F52796" w:rsidRPr="00B701D7">
        <w:t xml:space="preserve"> and condition of fish</w:t>
      </w:r>
      <w:r w:rsidRPr="00B701D7">
        <w:t xml:space="preserve">, </w:t>
      </w:r>
      <w:r w:rsidRPr="00B701D7">
        <w:rPr>
          <w:i/>
          <w:iCs/>
        </w:rPr>
        <w:t>the</w:t>
      </w:r>
      <w:r w:rsidR="00F52796" w:rsidRPr="00B701D7">
        <w:rPr>
          <w:i/>
          <w:iCs/>
        </w:rPr>
        <w:t xml:space="preserve"> primary remaining</w:t>
      </w:r>
      <w:r w:rsidRPr="00B701D7">
        <w:rPr>
          <w:i/>
          <w:iCs/>
        </w:rPr>
        <w:t xml:space="preserve"> gap</w:t>
      </w:r>
      <w:r w:rsidR="00F52796" w:rsidRPr="00B701D7">
        <w:rPr>
          <w:i/>
          <w:iCs/>
        </w:rPr>
        <w:t xml:space="preserve"> is </w:t>
      </w:r>
      <w:r w:rsidRPr="00B701D7">
        <w:rPr>
          <w:i/>
          <w:iCs/>
        </w:rPr>
        <w:t xml:space="preserve">addressing </w:t>
      </w:r>
      <w:r w:rsidRPr="00AF0CCC">
        <w:rPr>
          <w:i/>
          <w:iCs/>
          <w:u w:val="single"/>
        </w:rPr>
        <w:t xml:space="preserve">PCBs </w:t>
      </w:r>
      <w:r w:rsidR="00C917EF" w:rsidRPr="00AF0CCC">
        <w:rPr>
          <w:i/>
          <w:iCs/>
          <w:u w:val="single"/>
        </w:rPr>
        <w:t>response to</w:t>
      </w:r>
      <w:r w:rsidRPr="00AF0CCC">
        <w:rPr>
          <w:i/>
          <w:iCs/>
          <w:u w:val="single"/>
        </w:rPr>
        <w:t xml:space="preserve"> mitigation efforts</w:t>
      </w:r>
      <w:r w:rsidRPr="00B701D7">
        <w:rPr>
          <w:i/>
          <w:iCs/>
        </w:rPr>
        <w:t xml:space="preserve">. </w:t>
      </w:r>
    </w:p>
    <w:p w14:paraId="412DCD4B" w14:textId="49E65E57" w:rsidR="00AD043A" w:rsidRPr="00B701D7" w:rsidRDefault="004B0D26" w:rsidP="00AD043A">
      <w:r>
        <w:t xml:space="preserve">A synthesis of feedback </w:t>
      </w:r>
      <w:r w:rsidR="00893B67">
        <w:t xml:space="preserve">from TCW </w:t>
      </w:r>
      <w:r>
        <w:t>contributing to the fo</w:t>
      </w:r>
      <w:r w:rsidR="00181948">
        <w:t>rmation of gaps</w:t>
      </w:r>
      <w:r w:rsidR="00AF0CCC">
        <w:t>:</w:t>
      </w:r>
    </w:p>
    <w:p w14:paraId="6EBD2233" w14:textId="7FE1E1ED" w:rsidR="00B701D7" w:rsidRDefault="00AD043A" w:rsidP="00B701D7">
      <w:pPr>
        <w:numPr>
          <w:ilvl w:val="0"/>
          <w:numId w:val="15"/>
        </w:numPr>
        <w:shd w:val="clear" w:color="auto" w:fill="FFFFFF"/>
        <w:spacing w:before="100" w:beforeAutospacing="1" w:after="100" w:afterAutospacing="1" w:line="276" w:lineRule="auto"/>
        <w:textAlignment w:val="baseline"/>
        <w:rPr>
          <w:rFonts w:eastAsia="Times New Roman"/>
          <w:color w:val="000000"/>
        </w:rPr>
      </w:pPr>
      <w:r w:rsidRPr="00B701D7">
        <w:rPr>
          <w:rFonts w:eastAsia="Times New Roman"/>
          <w:color w:val="000000"/>
        </w:rPr>
        <w:t>Jurisdictions and federal agencies reported limited monitoring that directly assess changes in PCBs due to mitigation actions</w:t>
      </w:r>
      <w:r w:rsidR="00C605FD">
        <w:rPr>
          <w:rFonts w:eastAsia="Times New Roman"/>
          <w:color w:val="000000"/>
        </w:rPr>
        <w:t xml:space="preserve"> outside of the site scale</w:t>
      </w:r>
      <w:r w:rsidRPr="00B701D7">
        <w:rPr>
          <w:rFonts w:eastAsia="Times New Roman"/>
          <w:color w:val="000000"/>
        </w:rPr>
        <w:t xml:space="preserve">.  </w:t>
      </w:r>
      <w:r w:rsidR="00C605FD">
        <w:rPr>
          <w:rFonts w:eastAsia="Times New Roman"/>
          <w:color w:val="000000"/>
        </w:rPr>
        <w:t xml:space="preserve">Aside from limited assessments in DE and by </w:t>
      </w:r>
      <w:r w:rsidR="00893B67">
        <w:rPr>
          <w:rFonts w:eastAsia="Times New Roman"/>
          <w:color w:val="000000"/>
        </w:rPr>
        <w:t>District of Columbia Department of Energy and Environment (</w:t>
      </w:r>
      <w:r w:rsidR="00C605FD">
        <w:rPr>
          <w:rFonts w:eastAsia="Times New Roman"/>
          <w:color w:val="000000"/>
        </w:rPr>
        <w:t>DOEE</w:t>
      </w:r>
      <w:r w:rsidR="00893B67">
        <w:rPr>
          <w:rFonts w:eastAsia="Times New Roman"/>
          <w:color w:val="000000"/>
        </w:rPr>
        <w:t>)</w:t>
      </w:r>
      <w:r w:rsidR="00C605FD">
        <w:rPr>
          <w:rFonts w:eastAsia="Times New Roman"/>
          <w:color w:val="000000"/>
        </w:rPr>
        <w:t xml:space="preserve"> in Anacostia, </w:t>
      </w:r>
      <w:r w:rsidRPr="00B701D7">
        <w:rPr>
          <w:rFonts w:eastAsia="Times New Roman"/>
          <w:color w:val="000000"/>
        </w:rPr>
        <w:t xml:space="preserve">there are gaps to assess PCB reductions from mitigation actions in places where TMDLs have been established </w:t>
      </w:r>
      <w:r w:rsidR="00187E88">
        <w:rPr>
          <w:rFonts w:eastAsia="Times New Roman"/>
          <w:color w:val="000000"/>
        </w:rPr>
        <w:t>or are planned</w:t>
      </w:r>
      <w:r w:rsidRPr="00B701D7">
        <w:rPr>
          <w:rFonts w:eastAsia="Times New Roman"/>
          <w:color w:val="000000"/>
        </w:rPr>
        <w:t>. </w:t>
      </w:r>
    </w:p>
    <w:p w14:paraId="2785B75F" w14:textId="520C8E96" w:rsidR="00B701D7" w:rsidRPr="00B701D7" w:rsidRDefault="00B701D7" w:rsidP="00B701D7">
      <w:pPr>
        <w:numPr>
          <w:ilvl w:val="0"/>
          <w:numId w:val="15"/>
        </w:numPr>
        <w:shd w:val="clear" w:color="auto" w:fill="FFFFFF"/>
        <w:spacing w:before="100" w:beforeAutospacing="1" w:after="100" w:afterAutospacing="1" w:line="276" w:lineRule="auto"/>
        <w:textAlignment w:val="baseline"/>
        <w:rPr>
          <w:rFonts w:eastAsia="Times New Roman"/>
          <w:color w:val="000000"/>
        </w:rPr>
      </w:pPr>
      <w:r w:rsidRPr="00B701D7">
        <w:rPr>
          <w:rFonts w:eastAsia="Times New Roman"/>
          <w:color w:val="000000"/>
        </w:rPr>
        <w:t xml:space="preserve">The PCB data for fish are more robust than surface water </w:t>
      </w:r>
      <w:r w:rsidR="00893B67">
        <w:rPr>
          <w:rFonts w:eastAsia="Times New Roman"/>
          <w:color w:val="000000"/>
        </w:rPr>
        <w:t xml:space="preserve">in terms </w:t>
      </w:r>
      <w:r w:rsidRPr="00B701D7">
        <w:rPr>
          <w:rFonts w:eastAsia="Times New Roman"/>
          <w:color w:val="000000"/>
        </w:rPr>
        <w:t xml:space="preserve">of record and frequency of collection. </w:t>
      </w:r>
      <w:r w:rsidR="00E6132A">
        <w:rPr>
          <w:rFonts w:eastAsia="Times New Roman"/>
          <w:color w:val="000000"/>
        </w:rPr>
        <w:t xml:space="preserve"> </w:t>
      </w:r>
      <w:r w:rsidR="00187E88">
        <w:rPr>
          <w:rFonts w:eastAsia="Times New Roman"/>
          <w:color w:val="000000"/>
        </w:rPr>
        <w:t>A focus on</w:t>
      </w:r>
      <w:r w:rsidR="00E6132A">
        <w:rPr>
          <w:rFonts w:eastAsia="Times New Roman"/>
          <w:color w:val="000000"/>
        </w:rPr>
        <w:t xml:space="preserve"> fish data and sampling </w:t>
      </w:r>
      <w:r w:rsidR="00187E88">
        <w:rPr>
          <w:rFonts w:eastAsia="Times New Roman"/>
          <w:color w:val="000000"/>
        </w:rPr>
        <w:t xml:space="preserve">would provide </w:t>
      </w:r>
      <w:r w:rsidR="00E6132A">
        <w:rPr>
          <w:rFonts w:eastAsia="Times New Roman"/>
          <w:color w:val="000000"/>
        </w:rPr>
        <w:t>more</w:t>
      </w:r>
      <w:r w:rsidRPr="00B701D7">
        <w:rPr>
          <w:rFonts w:eastAsia="Times New Roman"/>
          <w:color w:val="000000"/>
        </w:rPr>
        <w:t xml:space="preserve"> </w:t>
      </w:r>
      <w:r w:rsidR="00E6132A">
        <w:rPr>
          <w:rFonts w:eastAsia="Times New Roman"/>
          <w:color w:val="000000"/>
        </w:rPr>
        <w:t>opportunities</w:t>
      </w:r>
      <w:r w:rsidR="0035547F">
        <w:rPr>
          <w:rFonts w:eastAsia="Times New Roman"/>
          <w:color w:val="000000"/>
        </w:rPr>
        <w:t xml:space="preserve"> for leveraging </w:t>
      </w:r>
      <w:r w:rsidR="00E6132A">
        <w:rPr>
          <w:rFonts w:eastAsia="Times New Roman"/>
          <w:color w:val="000000"/>
        </w:rPr>
        <w:t xml:space="preserve">existing monitoring efforts </w:t>
      </w:r>
      <w:r w:rsidR="0035547F">
        <w:rPr>
          <w:rFonts w:eastAsia="Times New Roman"/>
          <w:color w:val="000000"/>
        </w:rPr>
        <w:t xml:space="preserve">and </w:t>
      </w:r>
      <w:r w:rsidR="00C605FD">
        <w:rPr>
          <w:rFonts w:eastAsia="Times New Roman"/>
          <w:color w:val="000000"/>
        </w:rPr>
        <w:t xml:space="preserve">in some cases a </w:t>
      </w:r>
      <w:r w:rsidR="0035547F">
        <w:rPr>
          <w:rFonts w:eastAsia="Times New Roman"/>
          <w:color w:val="000000"/>
        </w:rPr>
        <w:t xml:space="preserve">comparison to historical </w:t>
      </w:r>
      <w:proofErr w:type="gramStart"/>
      <w:r w:rsidR="0035547F">
        <w:rPr>
          <w:rFonts w:eastAsia="Times New Roman"/>
          <w:color w:val="000000"/>
        </w:rPr>
        <w:t>data</w:t>
      </w:r>
      <w:r w:rsidR="00AF0CCC">
        <w:rPr>
          <w:rFonts w:eastAsia="Times New Roman"/>
          <w:color w:val="000000"/>
        </w:rPr>
        <w:t>, but</w:t>
      </w:r>
      <w:proofErr w:type="gramEnd"/>
      <w:r w:rsidR="00AF0CCC">
        <w:rPr>
          <w:rFonts w:eastAsia="Times New Roman"/>
          <w:color w:val="000000"/>
        </w:rPr>
        <w:t xml:space="preserve"> may take longer to detect</w:t>
      </w:r>
      <w:r w:rsidR="00E6132A">
        <w:rPr>
          <w:rFonts w:eastAsia="Times New Roman"/>
          <w:color w:val="000000"/>
        </w:rPr>
        <w:t>.</w:t>
      </w:r>
    </w:p>
    <w:p w14:paraId="44A5E785" w14:textId="6FC08C31" w:rsidR="00AD043A" w:rsidRPr="00B701D7" w:rsidRDefault="00C605FD" w:rsidP="00B701D7">
      <w:pPr>
        <w:numPr>
          <w:ilvl w:val="0"/>
          <w:numId w:val="15"/>
        </w:numPr>
        <w:shd w:val="clear" w:color="auto" w:fill="FFFFFF"/>
        <w:spacing w:before="100" w:beforeAutospacing="1" w:after="100" w:afterAutospacing="1" w:line="276" w:lineRule="auto"/>
        <w:textAlignment w:val="baseline"/>
        <w:rPr>
          <w:rFonts w:eastAsia="Times New Roman"/>
          <w:color w:val="000000"/>
        </w:rPr>
      </w:pPr>
      <w:r>
        <w:rPr>
          <w:rFonts w:eastAsia="Times New Roman"/>
          <w:color w:val="000000"/>
        </w:rPr>
        <w:t>Some</w:t>
      </w:r>
      <w:r w:rsidRPr="00B701D7">
        <w:rPr>
          <w:rFonts w:eastAsia="Times New Roman"/>
          <w:color w:val="000000"/>
        </w:rPr>
        <w:t xml:space="preserve"> </w:t>
      </w:r>
      <w:r w:rsidR="00AD043A" w:rsidRPr="00B701D7">
        <w:rPr>
          <w:rFonts w:eastAsia="Times New Roman"/>
          <w:color w:val="000000"/>
        </w:rPr>
        <w:t xml:space="preserve">of the states </w:t>
      </w:r>
      <w:r w:rsidR="00B66FA0">
        <w:rPr>
          <w:rFonts w:eastAsia="Times New Roman"/>
          <w:color w:val="000000"/>
        </w:rPr>
        <w:t xml:space="preserve">(DE and D.C.) </w:t>
      </w:r>
      <w:r w:rsidR="00AD043A" w:rsidRPr="00B701D7">
        <w:rPr>
          <w:rFonts w:eastAsia="Times New Roman"/>
          <w:color w:val="000000"/>
        </w:rPr>
        <w:t xml:space="preserve">are </w:t>
      </w:r>
      <w:r>
        <w:rPr>
          <w:rFonts w:eastAsia="Times New Roman"/>
          <w:color w:val="000000"/>
        </w:rPr>
        <w:t>using</w:t>
      </w:r>
      <w:r w:rsidRPr="00B701D7">
        <w:rPr>
          <w:rFonts w:eastAsia="Times New Roman"/>
          <w:color w:val="000000"/>
        </w:rPr>
        <w:t xml:space="preserve"> </w:t>
      </w:r>
      <w:r w:rsidR="00AD043A" w:rsidRPr="00B701D7">
        <w:rPr>
          <w:rFonts w:eastAsia="Times New Roman"/>
          <w:color w:val="000000"/>
        </w:rPr>
        <w:t>EPA method 1668A for the</w:t>
      </w:r>
      <w:r>
        <w:rPr>
          <w:rFonts w:eastAsia="Times New Roman"/>
          <w:color w:val="000000"/>
        </w:rPr>
        <w:t>ir</w:t>
      </w:r>
      <w:r w:rsidR="00AD043A" w:rsidRPr="00B701D7">
        <w:rPr>
          <w:rFonts w:eastAsia="Times New Roman"/>
          <w:color w:val="000000"/>
        </w:rPr>
        <w:t xml:space="preserve"> fish</w:t>
      </w:r>
      <w:r>
        <w:rPr>
          <w:rFonts w:eastAsia="Times New Roman"/>
          <w:color w:val="000000"/>
        </w:rPr>
        <w:t xml:space="preserve"> analysis</w:t>
      </w:r>
      <w:r w:rsidR="00AD043A" w:rsidRPr="00B701D7">
        <w:rPr>
          <w:rFonts w:eastAsia="Times New Roman"/>
          <w:color w:val="000000"/>
        </w:rPr>
        <w:t xml:space="preserve">, which provides </w:t>
      </w:r>
      <w:r w:rsidR="00893B67">
        <w:rPr>
          <w:rFonts w:eastAsia="Times New Roman"/>
          <w:color w:val="000000"/>
        </w:rPr>
        <w:t>an ability to produce more detailed PCB “fingerprints” and</w:t>
      </w:r>
      <w:r w:rsidR="00AD043A" w:rsidRPr="00B701D7">
        <w:rPr>
          <w:rFonts w:eastAsia="Times New Roman"/>
          <w:color w:val="000000"/>
        </w:rPr>
        <w:t xml:space="preserve"> low detection limit</w:t>
      </w:r>
      <w:r w:rsidR="00D86750">
        <w:rPr>
          <w:rFonts w:eastAsia="Times New Roman"/>
          <w:color w:val="000000"/>
        </w:rPr>
        <w:t>s</w:t>
      </w:r>
      <w:r w:rsidR="00AD043A" w:rsidRPr="00B701D7">
        <w:rPr>
          <w:rFonts w:eastAsia="Times New Roman"/>
          <w:color w:val="000000"/>
        </w:rPr>
        <w:t xml:space="preserve"> for PCBs and could be very helpful for assessing response. PA did not specify </w:t>
      </w:r>
      <w:r>
        <w:rPr>
          <w:rFonts w:eastAsia="Times New Roman"/>
          <w:color w:val="000000"/>
        </w:rPr>
        <w:t xml:space="preserve">an </w:t>
      </w:r>
      <w:r w:rsidR="00AD043A" w:rsidRPr="00B701D7">
        <w:rPr>
          <w:rFonts w:eastAsia="Times New Roman"/>
          <w:color w:val="000000"/>
        </w:rPr>
        <w:t xml:space="preserve">analytical </w:t>
      </w:r>
      <w:r w:rsidR="00B701D7" w:rsidRPr="00B701D7">
        <w:rPr>
          <w:rFonts w:eastAsia="Times New Roman"/>
          <w:color w:val="000000"/>
        </w:rPr>
        <w:t>method</w:t>
      </w:r>
      <w:r>
        <w:rPr>
          <w:rFonts w:eastAsia="Times New Roman"/>
          <w:color w:val="000000"/>
        </w:rPr>
        <w:t xml:space="preserve">. </w:t>
      </w:r>
      <w:r w:rsidR="00AD043A" w:rsidRPr="00B701D7">
        <w:rPr>
          <w:rFonts w:eastAsia="Times New Roman"/>
          <w:color w:val="000000"/>
        </w:rPr>
        <w:t xml:space="preserve"> MD </w:t>
      </w:r>
      <w:r w:rsidR="00B66FA0">
        <w:rPr>
          <w:rFonts w:eastAsia="Times New Roman"/>
          <w:color w:val="000000"/>
        </w:rPr>
        <w:t xml:space="preserve">and VA </w:t>
      </w:r>
      <w:r>
        <w:rPr>
          <w:rFonts w:eastAsia="Times New Roman"/>
          <w:color w:val="000000"/>
        </w:rPr>
        <w:t>use a modified EPA method</w:t>
      </w:r>
      <w:r w:rsidRPr="00B701D7">
        <w:rPr>
          <w:rFonts w:eastAsia="Times New Roman"/>
          <w:color w:val="000000"/>
        </w:rPr>
        <w:t xml:space="preserve"> </w:t>
      </w:r>
      <w:r w:rsidR="00AD043A" w:rsidRPr="00B701D7">
        <w:rPr>
          <w:rFonts w:eastAsia="Times New Roman"/>
          <w:color w:val="000000"/>
        </w:rPr>
        <w:t>8082</w:t>
      </w:r>
      <w:r w:rsidR="00D86750">
        <w:rPr>
          <w:rFonts w:eastAsia="Times New Roman"/>
          <w:color w:val="000000"/>
        </w:rPr>
        <w:t>, which provides similar detection limits to method 1668A and quantifies about 140 of the 209 critical congeners</w:t>
      </w:r>
      <w:r w:rsidR="008E53A6">
        <w:rPr>
          <w:rFonts w:eastAsia="Times New Roman"/>
          <w:color w:val="000000"/>
        </w:rPr>
        <w:t>.</w:t>
      </w:r>
      <w:r w:rsidR="00AD043A" w:rsidRPr="00B701D7">
        <w:rPr>
          <w:rFonts w:eastAsia="Times New Roman"/>
          <w:color w:val="000000"/>
        </w:rPr>
        <w:t xml:space="preserve"> </w:t>
      </w:r>
      <w:r w:rsidR="008E53A6">
        <w:rPr>
          <w:rFonts w:eastAsia="Times New Roman"/>
          <w:color w:val="000000"/>
        </w:rPr>
        <w:t>H</w:t>
      </w:r>
      <w:r w:rsidR="00AD043A" w:rsidRPr="00B701D7">
        <w:rPr>
          <w:rFonts w:eastAsia="Times New Roman"/>
          <w:color w:val="000000"/>
        </w:rPr>
        <w:t xml:space="preserve">istorical data </w:t>
      </w:r>
      <w:r w:rsidR="008E53A6">
        <w:rPr>
          <w:rFonts w:eastAsia="Times New Roman"/>
          <w:color w:val="000000"/>
        </w:rPr>
        <w:t xml:space="preserve">with differing methods </w:t>
      </w:r>
      <w:r w:rsidR="00AD043A" w:rsidRPr="00B701D7">
        <w:rPr>
          <w:rFonts w:eastAsia="Times New Roman"/>
          <w:color w:val="000000"/>
        </w:rPr>
        <w:t>are not comparable</w:t>
      </w:r>
      <w:r w:rsidR="00187E88">
        <w:rPr>
          <w:rFonts w:eastAsia="Times New Roman"/>
          <w:color w:val="000000"/>
        </w:rPr>
        <w:t xml:space="preserve"> to other jurisdictions</w:t>
      </w:r>
      <w:r w:rsidR="00AD043A" w:rsidRPr="00B701D7">
        <w:rPr>
          <w:rFonts w:eastAsia="Times New Roman"/>
          <w:color w:val="000000"/>
        </w:rPr>
        <w:t>.</w:t>
      </w:r>
      <w:r>
        <w:rPr>
          <w:rFonts w:eastAsia="Times New Roman"/>
          <w:color w:val="000000"/>
        </w:rPr>
        <w:t xml:space="preserve"> </w:t>
      </w:r>
    </w:p>
    <w:p w14:paraId="2BAFA705" w14:textId="64803A0B" w:rsidR="00AD043A" w:rsidRPr="00B701D7" w:rsidRDefault="00AD043A" w:rsidP="00B701D7">
      <w:pPr>
        <w:numPr>
          <w:ilvl w:val="0"/>
          <w:numId w:val="15"/>
        </w:numPr>
        <w:shd w:val="clear" w:color="auto" w:fill="FFFFFF"/>
        <w:spacing w:before="100" w:beforeAutospacing="1" w:after="100" w:afterAutospacing="1" w:line="276" w:lineRule="auto"/>
        <w:textAlignment w:val="baseline"/>
        <w:rPr>
          <w:rFonts w:eastAsia="Times New Roman"/>
          <w:color w:val="000000"/>
        </w:rPr>
      </w:pPr>
      <w:r w:rsidRPr="00B701D7">
        <w:rPr>
          <w:rFonts w:eastAsia="Times New Roman"/>
          <w:color w:val="000000"/>
        </w:rPr>
        <w:t>Methods to collect and analyze surface water sample</w:t>
      </w:r>
      <w:r w:rsidR="00E15982">
        <w:rPr>
          <w:rFonts w:eastAsia="Times New Roman"/>
          <w:color w:val="000000"/>
        </w:rPr>
        <w:t>s</w:t>
      </w:r>
      <w:r w:rsidRPr="00B701D7">
        <w:rPr>
          <w:rFonts w:eastAsia="Times New Roman"/>
          <w:color w:val="000000"/>
        </w:rPr>
        <w:t xml:space="preserve"> vary among jurisdictions and federal agencies</w:t>
      </w:r>
      <w:r w:rsidR="00C70F39">
        <w:rPr>
          <w:rFonts w:eastAsia="Times New Roman"/>
          <w:color w:val="000000"/>
        </w:rPr>
        <w:t xml:space="preserve"> (including both EPA methods 1668A and modified 8082)</w:t>
      </w:r>
      <w:r w:rsidRPr="00B701D7">
        <w:rPr>
          <w:rFonts w:eastAsia="Times New Roman"/>
          <w:color w:val="000000"/>
        </w:rPr>
        <w:t xml:space="preserve">. Types of field </w:t>
      </w:r>
      <w:r w:rsidR="00187E88">
        <w:rPr>
          <w:rFonts w:eastAsia="Times New Roman"/>
          <w:color w:val="000000"/>
        </w:rPr>
        <w:t xml:space="preserve">sample </w:t>
      </w:r>
      <w:r w:rsidRPr="00B701D7">
        <w:rPr>
          <w:rFonts w:eastAsia="Times New Roman"/>
          <w:color w:val="000000"/>
        </w:rPr>
        <w:t>collect</w:t>
      </w:r>
      <w:r w:rsidR="00187E88">
        <w:rPr>
          <w:rFonts w:eastAsia="Times New Roman"/>
          <w:color w:val="000000"/>
        </w:rPr>
        <w:t>ion</w:t>
      </w:r>
      <w:r w:rsidRPr="00B701D7">
        <w:rPr>
          <w:rFonts w:eastAsia="Times New Roman"/>
          <w:color w:val="000000"/>
        </w:rPr>
        <w:t xml:space="preserve"> include both grab samples and use of passive </w:t>
      </w:r>
      <w:r w:rsidR="00D86750">
        <w:rPr>
          <w:rFonts w:eastAsia="Times New Roman"/>
          <w:color w:val="000000"/>
        </w:rPr>
        <w:t xml:space="preserve">polyethylene </w:t>
      </w:r>
      <w:r w:rsidRPr="00B701D7">
        <w:rPr>
          <w:rFonts w:eastAsia="Times New Roman"/>
          <w:color w:val="000000"/>
        </w:rPr>
        <w:t>samplers. The lab methods and their detection limits are not consistent</w:t>
      </w:r>
      <w:r w:rsidR="00187E88">
        <w:rPr>
          <w:rFonts w:eastAsia="Times New Roman"/>
          <w:color w:val="000000"/>
        </w:rPr>
        <w:t xml:space="preserve"> and would require the establishment of a collective baseline event(s)</w:t>
      </w:r>
      <w:r w:rsidRPr="00B701D7">
        <w:rPr>
          <w:rFonts w:eastAsia="Times New Roman"/>
          <w:color w:val="000000"/>
        </w:rPr>
        <w:t>.</w:t>
      </w:r>
    </w:p>
    <w:p w14:paraId="0CA72C28" w14:textId="12917D0B" w:rsidR="00AD043A" w:rsidRDefault="00AD043A" w:rsidP="00B701D7">
      <w:pPr>
        <w:numPr>
          <w:ilvl w:val="0"/>
          <w:numId w:val="15"/>
        </w:numPr>
        <w:shd w:val="clear" w:color="auto" w:fill="FFFFFF"/>
        <w:spacing w:before="100" w:beforeAutospacing="1" w:after="100" w:afterAutospacing="1" w:line="276" w:lineRule="auto"/>
        <w:textAlignment w:val="baseline"/>
        <w:rPr>
          <w:rFonts w:eastAsia="Times New Roman"/>
          <w:color w:val="000000"/>
        </w:rPr>
      </w:pPr>
      <w:r w:rsidRPr="00B701D7">
        <w:rPr>
          <w:rFonts w:eastAsia="Times New Roman"/>
          <w:color w:val="000000"/>
        </w:rPr>
        <w:t>The sampling locations</w:t>
      </w:r>
      <w:r w:rsidR="00C917EF" w:rsidRPr="00B701D7">
        <w:rPr>
          <w:rFonts w:eastAsia="Times New Roman"/>
          <w:color w:val="000000"/>
        </w:rPr>
        <w:t xml:space="preserve"> near</w:t>
      </w:r>
      <w:r w:rsidRPr="00B701D7">
        <w:rPr>
          <w:rFonts w:eastAsia="Times New Roman"/>
          <w:color w:val="000000"/>
        </w:rPr>
        <w:t xml:space="preserve"> local TMDLs are limited both in number and frequency that samples are collected. The number of monitoring stations are lacking in many places to detect a PCB response to mitigation efforts. Many non</w:t>
      </w:r>
      <w:r w:rsidR="00325519">
        <w:rPr>
          <w:rFonts w:eastAsia="Times New Roman"/>
          <w:color w:val="000000"/>
        </w:rPr>
        <w:t>-</w:t>
      </w:r>
      <w:r w:rsidRPr="00B701D7">
        <w:rPr>
          <w:rFonts w:eastAsia="Times New Roman"/>
          <w:color w:val="000000"/>
        </w:rPr>
        <w:t xml:space="preserve">tidal sites lack streamflow gages for calculation of PCB loads. </w:t>
      </w:r>
      <w:r w:rsidR="00C605FD">
        <w:rPr>
          <w:rFonts w:eastAsia="Times New Roman"/>
          <w:color w:val="000000"/>
        </w:rPr>
        <w:t xml:space="preserve">Temporal and spatial variability in surface water is high and would </w:t>
      </w:r>
      <w:r w:rsidR="00C70F39">
        <w:rPr>
          <w:rFonts w:eastAsia="Times New Roman"/>
          <w:color w:val="000000"/>
        </w:rPr>
        <w:t xml:space="preserve">require a </w:t>
      </w:r>
      <w:r w:rsidR="00C605FD">
        <w:rPr>
          <w:rFonts w:eastAsia="Times New Roman"/>
          <w:color w:val="000000"/>
        </w:rPr>
        <w:t>considerable quantity of samples to establish a representative condition in surface water.</w:t>
      </w:r>
    </w:p>
    <w:p w14:paraId="4EC8EA98" w14:textId="451654D3" w:rsidR="00F70A6F" w:rsidRPr="00095229" w:rsidRDefault="00C70F39" w:rsidP="00F70A6F">
      <w:pPr>
        <w:numPr>
          <w:ilvl w:val="0"/>
          <w:numId w:val="15"/>
        </w:numPr>
        <w:shd w:val="clear" w:color="auto" w:fill="FFFFFF"/>
        <w:spacing w:before="100" w:beforeAutospacing="1" w:after="100" w:afterAutospacing="1" w:line="276" w:lineRule="auto"/>
        <w:textAlignment w:val="baseline"/>
        <w:rPr>
          <w:rFonts w:eastAsia="Times New Roman"/>
          <w:color w:val="000000"/>
        </w:rPr>
      </w:pPr>
      <w:r>
        <w:rPr>
          <w:rFonts w:eastAsia="Times New Roman"/>
          <w:color w:val="000000"/>
        </w:rPr>
        <w:t>Limited numbers of samples in sediment and other media (e.g., shellfish) exist in more spatially limited locations of the watershed.</w:t>
      </w:r>
    </w:p>
    <w:p w14:paraId="441122DC" w14:textId="73DF0CD7" w:rsidR="0028336B" w:rsidRPr="007C6A65" w:rsidRDefault="00B701D7" w:rsidP="007C6A65">
      <w:pPr>
        <w:pStyle w:val="Heading2"/>
        <w:rPr>
          <w:rFonts w:eastAsia="Times New Roman"/>
          <w:b/>
          <w:bCs/>
        </w:rPr>
      </w:pPr>
      <w:r w:rsidRPr="007C6A65">
        <w:rPr>
          <w:rFonts w:eastAsia="Times New Roman"/>
          <w:b/>
          <w:bCs/>
        </w:rPr>
        <w:t xml:space="preserve">Section 5: </w:t>
      </w:r>
      <w:r w:rsidR="00C917EF" w:rsidRPr="007C6A65">
        <w:rPr>
          <w:rFonts w:eastAsia="Times New Roman"/>
          <w:b/>
          <w:bCs/>
        </w:rPr>
        <w:t xml:space="preserve">Monitoring Design Considerations and </w:t>
      </w:r>
      <w:r w:rsidR="0028336B" w:rsidRPr="007C6A65">
        <w:rPr>
          <w:rFonts w:eastAsia="Times New Roman"/>
          <w:b/>
          <w:bCs/>
        </w:rPr>
        <w:t>Options</w:t>
      </w:r>
    </w:p>
    <w:p w14:paraId="24BDF49E" w14:textId="126C6E5F" w:rsidR="00C70F39" w:rsidRPr="00C917EF" w:rsidRDefault="00C70F39" w:rsidP="00C917EF">
      <w:r>
        <w:t>The TCW brainstormed various approaches</w:t>
      </w:r>
      <w:r w:rsidR="00330B1C">
        <w:t xml:space="preserve"> and their advantages and disadvantages</w:t>
      </w:r>
      <w:r>
        <w:t xml:space="preserve"> to fill the primary gap described in Section 4. These approaches included </w:t>
      </w:r>
      <w:r w:rsidR="00330B1C">
        <w:t xml:space="preserve">targeted head of tide sampling </w:t>
      </w:r>
      <w:r w:rsidR="00D73FC4">
        <w:t xml:space="preserve">in surface water </w:t>
      </w:r>
      <w:r w:rsidR="00330B1C">
        <w:t xml:space="preserve">(similar to the </w:t>
      </w:r>
      <w:r w:rsidR="00B66FA0">
        <w:t xml:space="preserve">proposed </w:t>
      </w:r>
      <w:hyperlink r:id="rId13" w:history="1">
        <w:r w:rsidR="00B66FA0" w:rsidRPr="007242D5">
          <w:rPr>
            <w:rStyle w:val="Hyperlink"/>
          </w:rPr>
          <w:t>sampling program</w:t>
        </w:r>
      </w:hyperlink>
      <w:r w:rsidR="00B66FA0">
        <w:t xml:space="preserve"> described by Delaware</w:t>
      </w:r>
      <w:r w:rsidR="007242D5">
        <w:t xml:space="preserve"> Natural Resources Environmental Control) </w:t>
      </w:r>
      <w:r w:rsidR="00330B1C">
        <w:t xml:space="preserve">) to inform either ambient contaminant concentrations or loads (with corresponding co-located flow information), or targeted fish concentrations (of species to be determined) or a hybrid approach including various media.  Each approach has distinct advantages and disadvantages that may differ between geographic </w:t>
      </w:r>
      <w:r w:rsidR="00D73FC4">
        <w:t>areas</w:t>
      </w:r>
      <w:r w:rsidR="00330B1C">
        <w:t xml:space="preserve"> depending on the </w:t>
      </w:r>
      <w:r w:rsidR="00D73FC4">
        <w:t xml:space="preserve">conditions downstream (tidal, non-tidal, </w:t>
      </w:r>
      <w:r w:rsidR="00B66FA0">
        <w:t xml:space="preserve">known </w:t>
      </w:r>
      <w:r w:rsidR="00D73FC4">
        <w:t xml:space="preserve">flow rates, etc.), the desired observable response, or desired timeframe for response.  </w:t>
      </w:r>
      <w:r w:rsidR="00330B1C">
        <w:t xml:space="preserve"> </w:t>
      </w:r>
    </w:p>
    <w:p w14:paraId="293AB671" w14:textId="161C7123" w:rsidR="00095229" w:rsidRDefault="00095229" w:rsidP="00095229">
      <w:r w:rsidRPr="000318C5">
        <w:rPr>
          <w:u w:val="single"/>
        </w:rPr>
        <w:t>The TCW endorsed an overall approach for enhanced monitoring to help jurisdictions assess the PCB response to mitigation actions in selected geographic areas</w:t>
      </w:r>
      <w:r>
        <w:t xml:space="preserve">. If endorsed by the PSC, enhanced monitoring site selection would occur through the TCW according to steps in Figure 4.  The primary recommendations for this monitoring design are bolded and summarized below.  </w:t>
      </w:r>
    </w:p>
    <w:p w14:paraId="5C2D0A6E" w14:textId="3F770E6E" w:rsidR="00095229" w:rsidRDefault="00095229" w:rsidP="00095229">
      <w:r>
        <w:rPr>
          <w:noProof/>
        </w:rPr>
        <w:drawing>
          <wp:inline distT="0" distB="0" distL="0" distR="0" wp14:anchorId="656122F2" wp14:editId="4B204011">
            <wp:extent cx="5943600" cy="17331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10080" b="7427"/>
                    <a:stretch/>
                  </pic:blipFill>
                  <pic:spPr bwMode="auto">
                    <a:xfrm>
                      <a:off x="0" y="0"/>
                      <a:ext cx="5943600" cy="1733123"/>
                    </a:xfrm>
                    <a:prstGeom prst="rect">
                      <a:avLst/>
                    </a:prstGeom>
                    <a:noFill/>
                    <a:ln>
                      <a:noFill/>
                    </a:ln>
                    <a:extLst>
                      <a:ext uri="{53640926-AAD7-44D8-BBD7-CCE9431645EC}">
                        <a14:shadowObscured xmlns:a14="http://schemas.microsoft.com/office/drawing/2010/main"/>
                      </a:ext>
                    </a:extLst>
                  </pic:spPr>
                </pic:pic>
              </a:graphicData>
            </a:graphic>
          </wp:inline>
        </w:drawing>
      </w:r>
    </w:p>
    <w:p w14:paraId="64D2F246" w14:textId="77777777" w:rsidR="00095229" w:rsidRDefault="00095229" w:rsidP="00095229">
      <w:r>
        <w:t xml:space="preserve">Figure 4. Components of Sampling Site Selection </w:t>
      </w:r>
    </w:p>
    <w:p w14:paraId="5571601C" w14:textId="77777777" w:rsidR="00095229" w:rsidRPr="0025478C" w:rsidRDefault="00095229" w:rsidP="00095229"/>
    <w:p w14:paraId="38974800" w14:textId="4EEAE2CF" w:rsidR="00095229" w:rsidRDefault="00095229" w:rsidP="00FF0E80">
      <w:r>
        <w:rPr>
          <w:b/>
          <w:bCs/>
        </w:rPr>
        <w:t xml:space="preserve">Recommendation 1: Focus monitoring in geographic </w:t>
      </w:r>
      <w:r w:rsidRPr="0025478C">
        <w:rPr>
          <w:b/>
          <w:bCs/>
        </w:rPr>
        <w:t xml:space="preserve">areas to help the jurisdictions assess PCB </w:t>
      </w:r>
      <w:r>
        <w:rPr>
          <w:b/>
          <w:bCs/>
        </w:rPr>
        <w:t xml:space="preserve">response </w:t>
      </w:r>
      <w:r w:rsidRPr="0025478C">
        <w:rPr>
          <w:b/>
          <w:bCs/>
        </w:rPr>
        <w:t xml:space="preserve">where mitigation actions are being implemented and </w:t>
      </w:r>
      <w:r>
        <w:rPr>
          <w:b/>
          <w:bCs/>
        </w:rPr>
        <w:t>or planned</w:t>
      </w:r>
      <w:r>
        <w:t xml:space="preserve"> </w:t>
      </w:r>
    </w:p>
    <w:p w14:paraId="303424B2" w14:textId="42422175" w:rsidR="00330B1C" w:rsidRDefault="00C917EF" w:rsidP="00FF0E80">
      <w:r>
        <w:t>With enhanced monitoring, t</w:t>
      </w:r>
      <w:r w:rsidR="00466ADC">
        <w:t xml:space="preserve">he CBP can </w:t>
      </w:r>
      <w:r w:rsidR="00330B1C">
        <w:t xml:space="preserve">tailor </w:t>
      </w:r>
      <w:r w:rsidR="007C6A65">
        <w:t xml:space="preserve">data collecting in </w:t>
      </w:r>
      <w:r w:rsidR="00330B1C">
        <w:t xml:space="preserve">geographically-focused areas </w:t>
      </w:r>
      <w:r w:rsidR="001050E2">
        <w:t xml:space="preserve">to </w:t>
      </w:r>
      <w:r w:rsidR="00466ADC">
        <w:t>help the jurisdictions assess PCB response in places where mitigation actions are being implemented</w:t>
      </w:r>
      <w:r w:rsidR="00187E88">
        <w:t xml:space="preserve"> and are ongoing</w:t>
      </w:r>
      <w:r w:rsidR="00466ADC">
        <w:t xml:space="preserve">. </w:t>
      </w:r>
      <w:r w:rsidR="00D73FC4">
        <w:t>Due to the variability discussed above, j</w:t>
      </w:r>
      <w:r w:rsidR="00330B1C">
        <w:t xml:space="preserve">urisdictions suggested providing some flexibility in the </w:t>
      </w:r>
      <w:proofErr w:type="gramStart"/>
      <w:r w:rsidR="00330B1C">
        <w:t>geographically-focused</w:t>
      </w:r>
      <w:proofErr w:type="gramEnd"/>
      <w:r w:rsidR="00330B1C">
        <w:t xml:space="preserve"> areas to allow for the consideration of variable ongoing or historical monitoring and specific activities in their respective locations.  In general, t</w:t>
      </w:r>
      <w:r w:rsidR="00466ADC">
        <w:t>he conceptual design would build from existing monitoring to add sites to detect PCB response</w:t>
      </w:r>
      <w:r w:rsidR="007242D5">
        <w:t xml:space="preserve"> (</w:t>
      </w:r>
      <w:r w:rsidR="00F70A6F">
        <w:t>F</w:t>
      </w:r>
      <w:r w:rsidR="007242D5">
        <w:t>igure 4)</w:t>
      </w:r>
      <w:r w:rsidR="00466ADC">
        <w:t xml:space="preserve">. </w:t>
      </w:r>
    </w:p>
    <w:p w14:paraId="3295C28E" w14:textId="75416D95" w:rsidR="00054FFD" w:rsidRDefault="00095229" w:rsidP="00054FFD">
      <w:r>
        <w:rPr>
          <w:b/>
          <w:bCs/>
        </w:rPr>
        <w:t xml:space="preserve">Recommendation 2: </w:t>
      </w:r>
      <w:r w:rsidRPr="0025478C">
        <w:rPr>
          <w:b/>
          <w:bCs/>
        </w:rPr>
        <w:t>Geographic focus areas should be in places with PCB</w:t>
      </w:r>
      <w:r>
        <w:rPr>
          <w:b/>
          <w:bCs/>
        </w:rPr>
        <w:t xml:space="preserve"> reductions can be detected. </w:t>
      </w:r>
      <w:r w:rsidR="000A6528">
        <w:t xml:space="preserve">Geographic focus areas should be in major river basins of </w:t>
      </w:r>
      <w:r w:rsidR="00F70A6F">
        <w:t>the Chesapeake Bay</w:t>
      </w:r>
      <w:r w:rsidR="000A6528">
        <w:t xml:space="preserve">, with PCB impairments and existing or planned TMDLs, and centered in areas with enough action/mitigation for collective, predicted reductions of greater than 25% </w:t>
      </w:r>
      <w:r w:rsidR="00B66FA0">
        <w:t>(or a</w:t>
      </w:r>
      <w:r w:rsidR="007242D5">
        <w:t xml:space="preserve"> more appropriate</w:t>
      </w:r>
      <w:r w:rsidR="00B66FA0">
        <w:t xml:space="preserve"> reduction later specified) </w:t>
      </w:r>
      <w:r w:rsidR="000A6528">
        <w:t xml:space="preserve">in concentration and/or loading. </w:t>
      </w:r>
    </w:p>
    <w:p w14:paraId="77E60B4A" w14:textId="277D3A5B" w:rsidR="007028D9" w:rsidRDefault="007028D9" w:rsidP="00FF0E80">
      <w:r>
        <w:t xml:space="preserve">Monitoring of these locations will fill the gaps associated </w:t>
      </w:r>
      <w:r w:rsidR="001050E2">
        <w:t xml:space="preserve">with </w:t>
      </w:r>
      <w:r w:rsidRPr="00B701D7">
        <w:rPr>
          <w:i/>
          <w:iCs/>
        </w:rPr>
        <w:t xml:space="preserve">addressing </w:t>
      </w:r>
      <w:r w:rsidRPr="00F70A6F">
        <w:rPr>
          <w:i/>
          <w:iCs/>
          <w:u w:val="single"/>
        </w:rPr>
        <w:t>PCBs response to mitigation efforts</w:t>
      </w:r>
      <w:r>
        <w:rPr>
          <w:i/>
          <w:iCs/>
        </w:rPr>
        <w:t xml:space="preserve"> </w:t>
      </w:r>
      <w:r>
        <w:t xml:space="preserve">and help </w:t>
      </w:r>
      <w:r w:rsidR="00F42A0C">
        <w:t xml:space="preserve">to </w:t>
      </w:r>
      <w:r>
        <w:t>answer the following questions:</w:t>
      </w:r>
    </w:p>
    <w:p w14:paraId="01683B5B" w14:textId="6DDF6024" w:rsidR="007028D9" w:rsidRDefault="00F42A0C" w:rsidP="007028D9">
      <w:pPr>
        <w:pStyle w:val="ListParagraph"/>
        <w:numPr>
          <w:ilvl w:val="0"/>
          <w:numId w:val="18"/>
        </w:numPr>
      </w:pPr>
      <w:r>
        <w:t xml:space="preserve">At what spatial scale can a response (PCB decline) be observed downstream of actions? </w:t>
      </w:r>
    </w:p>
    <w:p w14:paraId="2D782AFB" w14:textId="4B81830B" w:rsidR="00F42A0C" w:rsidRDefault="00F42A0C" w:rsidP="007028D9">
      <w:pPr>
        <w:pStyle w:val="ListParagraph"/>
        <w:numPr>
          <w:ilvl w:val="0"/>
          <w:numId w:val="18"/>
        </w:numPr>
      </w:pPr>
      <w:r>
        <w:t xml:space="preserve">At what timescale can a response (PCB decline) be observed downstream of actions? </w:t>
      </w:r>
    </w:p>
    <w:p w14:paraId="72A09156" w14:textId="27AB4D0E" w:rsidR="007028D9" w:rsidRDefault="00F42A0C" w:rsidP="00FF0E80">
      <w:pPr>
        <w:pStyle w:val="ListParagraph"/>
        <w:numPr>
          <w:ilvl w:val="0"/>
          <w:numId w:val="18"/>
        </w:numPr>
      </w:pPr>
      <w:r>
        <w:t>Are there observable differences in the mitigation actions taken and the resulting PCB response?</w:t>
      </w:r>
    </w:p>
    <w:p w14:paraId="3BE58156" w14:textId="69C63B81" w:rsidR="00466ADC" w:rsidRDefault="00FF0E80" w:rsidP="00FF0E80">
      <w:r>
        <w:t xml:space="preserve">An adequate </w:t>
      </w:r>
      <w:r w:rsidR="00D73FC4">
        <w:t>sample location</w:t>
      </w:r>
      <w:r>
        <w:t xml:space="preserve"> w</w:t>
      </w:r>
      <w:r w:rsidR="00466ADC">
        <w:t xml:space="preserve">ould: </w:t>
      </w:r>
    </w:p>
    <w:p w14:paraId="0057A87B" w14:textId="5B46F394" w:rsidR="00466ADC" w:rsidRDefault="00466ADC" w:rsidP="00FF0E80">
      <w:pPr>
        <w:pStyle w:val="ListParagraph"/>
        <w:numPr>
          <w:ilvl w:val="0"/>
          <w:numId w:val="16"/>
        </w:numPr>
      </w:pPr>
      <w:r>
        <w:t>Be downstream of mi</w:t>
      </w:r>
      <w:r w:rsidR="006A5913">
        <w:t>tig</w:t>
      </w:r>
      <w:r>
        <w:t>ation actions but in close enough proximity to detect PCB changes</w:t>
      </w:r>
      <w:r w:rsidR="00AA4D22">
        <w:t xml:space="preserve"> resulting from collective actions</w:t>
      </w:r>
      <w:r>
        <w:t xml:space="preserve">. </w:t>
      </w:r>
      <w:r w:rsidR="00AA4D22">
        <w:t>Visual observations of decline (</w:t>
      </w:r>
      <w:proofErr w:type="gramStart"/>
      <w:r w:rsidR="00AA4D22">
        <w:t>similar to</w:t>
      </w:r>
      <w:proofErr w:type="gramEnd"/>
      <w:r w:rsidR="00AA4D22">
        <w:t xml:space="preserve"> the indicator</w:t>
      </w:r>
      <w:r w:rsidR="006A5913">
        <w:t xml:space="preserve"> representation</w:t>
      </w:r>
      <w:r w:rsidR="00AA4D22">
        <w:t xml:space="preserve">) would require less locations compared to a design for </w:t>
      </w:r>
      <w:r w:rsidR="006A5913">
        <w:t xml:space="preserve">assessment of </w:t>
      </w:r>
      <w:r w:rsidR="00AA4D22">
        <w:t xml:space="preserve">statistical decline. </w:t>
      </w:r>
      <w:r w:rsidR="006A5913">
        <w:t xml:space="preserve"> Less frequent monitoring (of fish for example) may allow for a higher number of individual samples to be collected and analyzed</w:t>
      </w:r>
      <w:r w:rsidR="005434DA">
        <w:t xml:space="preserve">.   </w:t>
      </w:r>
    </w:p>
    <w:p w14:paraId="187ADF67" w14:textId="77777777" w:rsidR="006A5913" w:rsidRDefault="00AA4D22" w:rsidP="00FF0E80">
      <w:pPr>
        <w:pStyle w:val="ListParagraph"/>
        <w:numPr>
          <w:ilvl w:val="0"/>
          <w:numId w:val="16"/>
        </w:numPr>
      </w:pPr>
      <w:r>
        <w:t xml:space="preserve">Each geographic area will be </w:t>
      </w:r>
      <w:r w:rsidR="006A5913">
        <w:t xml:space="preserve">individually </w:t>
      </w:r>
      <w:r>
        <w:t xml:space="preserve">assessed for appropriate media to be sampled, with a similar approach across media for different areas depending on conditions present in each area. </w:t>
      </w:r>
    </w:p>
    <w:p w14:paraId="190F8A8D" w14:textId="1C08A10C" w:rsidR="003431A6" w:rsidRDefault="00FF0E80" w:rsidP="00FF0E80">
      <w:pPr>
        <w:pStyle w:val="ListParagraph"/>
        <w:numPr>
          <w:ilvl w:val="0"/>
          <w:numId w:val="16"/>
        </w:numPr>
      </w:pPr>
      <w:r>
        <w:t>Be sampled at a frequency often enough to detect a change over time</w:t>
      </w:r>
      <w:r w:rsidR="006A5913">
        <w:t>, after establishment of a baseline sampling event</w:t>
      </w:r>
      <w:r w:rsidR="003431A6">
        <w:t>. Options include:</w:t>
      </w:r>
    </w:p>
    <w:p w14:paraId="4857EA27" w14:textId="528182A4" w:rsidR="001C670B" w:rsidRDefault="003431A6" w:rsidP="001C670B">
      <w:pPr>
        <w:pStyle w:val="ListParagraph"/>
        <w:numPr>
          <w:ilvl w:val="1"/>
          <w:numId w:val="16"/>
        </w:numPr>
      </w:pPr>
      <w:r w:rsidRPr="001C670B">
        <w:t xml:space="preserve">Sampling fish </w:t>
      </w:r>
      <w:r w:rsidR="00E87EBE" w:rsidRPr="001C670B">
        <w:t xml:space="preserve">(or shellfish) </w:t>
      </w:r>
      <w:r w:rsidRPr="001C670B">
        <w:t xml:space="preserve">every </w:t>
      </w:r>
      <w:r w:rsidR="006A5913" w:rsidRPr="001C670B">
        <w:t>1-2 years</w:t>
      </w:r>
      <w:r w:rsidRPr="001C670B">
        <w:t xml:space="preserve">. </w:t>
      </w:r>
      <w:r w:rsidR="008E53A6">
        <w:t>Consideration should be given to young of the year collection at this time interval.  For larger game fish, longer times may be required to observe a change (lesser frequency may be adequate).</w:t>
      </w:r>
    </w:p>
    <w:p w14:paraId="302868E7" w14:textId="604F25D5" w:rsidR="00FF0E80" w:rsidRPr="001C670B" w:rsidRDefault="008E53A6" w:rsidP="001C670B">
      <w:pPr>
        <w:pStyle w:val="ListParagraph"/>
        <w:numPr>
          <w:ilvl w:val="1"/>
          <w:numId w:val="16"/>
        </w:numPr>
      </w:pPr>
      <w:r>
        <w:t>Time-integrated s</w:t>
      </w:r>
      <w:r w:rsidR="003431A6" w:rsidRPr="001C670B">
        <w:t xml:space="preserve">urface-water samples every quarter to estimate </w:t>
      </w:r>
      <w:r w:rsidR="006A5913" w:rsidRPr="001C670B">
        <w:t>annual variability for a specified</w:t>
      </w:r>
      <w:r w:rsidR="006A5913">
        <w:t xml:space="preserve"> timeframe, then possibly less frequent (biannual at times of highest noted variability).  </w:t>
      </w:r>
      <w:r w:rsidR="00C917EF">
        <w:t xml:space="preserve"> </w:t>
      </w:r>
      <w:r w:rsidR="007242D5">
        <w:t>If variability in flow conditions (e.g., storm events) was to be considered, baseline costs would need to be updated.</w:t>
      </w:r>
      <w:r>
        <w:t xml:space="preserve">  Current cost estimates assume passive sampling of the water column</w:t>
      </w:r>
      <w:r w:rsidR="00073B66">
        <w:t>.</w:t>
      </w:r>
      <w:r w:rsidR="007242D5">
        <w:t xml:space="preserve">  </w:t>
      </w:r>
    </w:p>
    <w:p w14:paraId="29EADB65" w14:textId="72BF5457" w:rsidR="00E87EBE" w:rsidRPr="00E15982" w:rsidRDefault="00E87EBE" w:rsidP="003431A6">
      <w:pPr>
        <w:pStyle w:val="ListParagraph"/>
        <w:numPr>
          <w:ilvl w:val="1"/>
          <w:numId w:val="16"/>
        </w:numPr>
      </w:pPr>
      <w:r>
        <w:t xml:space="preserve">At this time, </w:t>
      </w:r>
      <w:r w:rsidR="008E53A6">
        <w:t xml:space="preserve">bulk </w:t>
      </w:r>
      <w:r>
        <w:t xml:space="preserve">sediment </w:t>
      </w:r>
      <w:r w:rsidR="008E53A6">
        <w:t xml:space="preserve">sampling </w:t>
      </w:r>
      <w:r w:rsidR="00E15982">
        <w:t xml:space="preserve">as a stand-alone media </w:t>
      </w:r>
      <w:r>
        <w:t xml:space="preserve">is not being considered due to the inability to assess </w:t>
      </w:r>
      <w:r w:rsidR="00E15982">
        <w:t>bioavailability of mass detected.</w:t>
      </w:r>
      <w:r w:rsidR="008E53A6">
        <w:t xml:space="preserve">  Other considerations for sediment assessment include passive sampling of sediment porewater, which can assess bioavailability and inform sediment concentrations and passive sediment traps in non-tidal environments.  (Current cost estimates do not include these alternate sediment considerations, are but noted here for consideration).</w:t>
      </w:r>
    </w:p>
    <w:p w14:paraId="66CA3BAD" w14:textId="576B335F" w:rsidR="006A5913" w:rsidRDefault="00F42A0C" w:rsidP="006A5913">
      <w:pPr>
        <w:pStyle w:val="ListParagraph"/>
        <w:numPr>
          <w:ilvl w:val="0"/>
          <w:numId w:val="16"/>
        </w:numPr>
      </w:pPr>
      <w:r>
        <w:t>Be f</w:t>
      </w:r>
      <w:r w:rsidR="006A5913">
        <w:t>ocus</w:t>
      </w:r>
      <w:r>
        <w:t>ed</w:t>
      </w:r>
      <w:r w:rsidR="006A5913">
        <w:t xml:space="preserve"> on sampling fish or shellfish (as indicator) or surface water and the uniformity of field and analytical methods for low-level detection of PCBs.  </w:t>
      </w:r>
    </w:p>
    <w:p w14:paraId="29A8689B" w14:textId="061784D9" w:rsidR="00F42A0C" w:rsidRDefault="00F42A0C" w:rsidP="006A5913">
      <w:pPr>
        <w:pStyle w:val="ListParagraph"/>
        <w:numPr>
          <w:ilvl w:val="0"/>
          <w:numId w:val="16"/>
        </w:numPr>
      </w:pPr>
      <w:r>
        <w:t>Be opportunistic with ongoing monitoring efforts to supplement jurisdiction efforts and capitalize on mobilizations to the areas/locations.</w:t>
      </w:r>
      <w:r w:rsidR="002A14E6">
        <w:t xml:space="preserve"> This may require consideration of the sampling frequency.</w:t>
      </w:r>
    </w:p>
    <w:p w14:paraId="2E4C2AEF" w14:textId="77777777" w:rsidR="00054FFD" w:rsidRDefault="00054FFD" w:rsidP="00054FFD">
      <w:r>
        <w:rPr>
          <w:b/>
          <w:bCs/>
        </w:rPr>
        <w:t>Recommendation 3: I</w:t>
      </w:r>
      <w:r w:rsidRPr="00675127">
        <w:rPr>
          <w:b/>
          <w:bCs/>
        </w:rPr>
        <w:t>nitia</w:t>
      </w:r>
      <w:r>
        <w:rPr>
          <w:b/>
          <w:bCs/>
        </w:rPr>
        <w:t xml:space="preserve">te </w:t>
      </w:r>
      <w:r w:rsidRPr="00675127">
        <w:rPr>
          <w:b/>
          <w:bCs/>
        </w:rPr>
        <w:t>monitoring in a single geographic-focus area as a pilot test</w:t>
      </w:r>
      <w:r>
        <w:t xml:space="preserve"> Since there are many unknowns related to this monitoring, including reduction required to detect a response, timeframe to detect a response, proximity to collection actions to detect a response in surface water, fish, or other designated media, we propose initiating monitoring in a single geographic-focus area as a pilot test.  Lessons learned from this pilot test could be translated to other geographic focus area.</w:t>
      </w:r>
      <w:r w:rsidRPr="00054FFD">
        <w:t xml:space="preserve"> </w:t>
      </w:r>
    </w:p>
    <w:p w14:paraId="1F06AD21" w14:textId="3C12C94C" w:rsidR="00054FFD" w:rsidRDefault="00054FFD" w:rsidP="00054FFD">
      <w:r>
        <w:t xml:space="preserve">Possible options for geographic-focus areas were identified by the TCW and reflect efforts to implement TMDLs </w:t>
      </w:r>
      <w:r w:rsidR="007C6A65">
        <w:t>and</w:t>
      </w:r>
      <w:r>
        <w:t xml:space="preserve"> clean</w:t>
      </w:r>
      <w:r w:rsidR="007C6A65">
        <w:t>-</w:t>
      </w:r>
      <w:r>
        <w:t xml:space="preserve">up activities and WWTP upgrades (listed below).  One consideration could be to align with the EPA-designated Urban Waters Federal Partnership locations in the watershed, including Patapsco and Anacostia.  </w:t>
      </w:r>
    </w:p>
    <w:tbl>
      <w:tblPr>
        <w:tblStyle w:val="TableGrid"/>
        <w:tblW w:w="9180" w:type="dxa"/>
        <w:tblInd w:w="85" w:type="dxa"/>
        <w:tblLook w:val="04A0" w:firstRow="1" w:lastRow="0" w:firstColumn="1" w:lastColumn="0" w:noHBand="0" w:noVBand="1"/>
      </w:tblPr>
      <w:tblGrid>
        <w:gridCol w:w="1710"/>
        <w:gridCol w:w="7470"/>
      </w:tblGrid>
      <w:tr w:rsidR="00054FFD" w:rsidRPr="003535EF" w14:paraId="6720BC90" w14:textId="77777777" w:rsidTr="00054FFD">
        <w:tc>
          <w:tcPr>
            <w:tcW w:w="1710" w:type="dxa"/>
          </w:tcPr>
          <w:p w14:paraId="5E2C8E0C" w14:textId="77777777" w:rsidR="00054FFD" w:rsidRPr="003535EF" w:rsidRDefault="00054FFD" w:rsidP="00BC7AB5">
            <w:pPr>
              <w:rPr>
                <w:b/>
              </w:rPr>
            </w:pPr>
            <w:r w:rsidRPr="003535EF">
              <w:rPr>
                <w:b/>
              </w:rPr>
              <w:t xml:space="preserve">Jurisdiction </w:t>
            </w:r>
          </w:p>
        </w:tc>
        <w:tc>
          <w:tcPr>
            <w:tcW w:w="7470" w:type="dxa"/>
          </w:tcPr>
          <w:p w14:paraId="6E525200" w14:textId="77777777" w:rsidR="00054FFD" w:rsidRPr="003535EF" w:rsidRDefault="00054FFD" w:rsidP="00BC7AB5">
            <w:pPr>
              <w:rPr>
                <w:b/>
              </w:rPr>
            </w:pPr>
            <w:r w:rsidRPr="003535EF">
              <w:rPr>
                <w:b/>
              </w:rPr>
              <w:t>Geographic-focus Areas</w:t>
            </w:r>
          </w:p>
        </w:tc>
      </w:tr>
      <w:tr w:rsidR="00054FFD" w14:paraId="26AB339B" w14:textId="77777777" w:rsidTr="00054FFD">
        <w:tc>
          <w:tcPr>
            <w:tcW w:w="1710" w:type="dxa"/>
          </w:tcPr>
          <w:p w14:paraId="6DEED62C" w14:textId="77777777" w:rsidR="00054FFD" w:rsidRDefault="00054FFD" w:rsidP="00BC7AB5">
            <w:r>
              <w:t>DC</w:t>
            </w:r>
          </w:p>
        </w:tc>
        <w:tc>
          <w:tcPr>
            <w:tcW w:w="7470" w:type="dxa"/>
          </w:tcPr>
          <w:p w14:paraId="7E9B4B78" w14:textId="77777777" w:rsidR="00054FFD" w:rsidRDefault="00054FFD" w:rsidP="00BC7AB5">
            <w:r>
              <w:t xml:space="preserve">Anacostia </w:t>
            </w:r>
          </w:p>
        </w:tc>
      </w:tr>
      <w:tr w:rsidR="00054FFD" w14:paraId="15411803" w14:textId="77777777" w:rsidTr="00054FFD">
        <w:tc>
          <w:tcPr>
            <w:tcW w:w="1710" w:type="dxa"/>
          </w:tcPr>
          <w:p w14:paraId="10E78246" w14:textId="77777777" w:rsidR="00054FFD" w:rsidRDefault="00054FFD" w:rsidP="00BC7AB5">
            <w:r>
              <w:t>MD</w:t>
            </w:r>
          </w:p>
        </w:tc>
        <w:tc>
          <w:tcPr>
            <w:tcW w:w="7470" w:type="dxa"/>
          </w:tcPr>
          <w:p w14:paraId="1C7D7D6A" w14:textId="77777777" w:rsidR="00054FFD" w:rsidRDefault="00054FFD" w:rsidP="00BC7AB5">
            <w:r>
              <w:t>Tidal Patapsco River (Baltimore Harbor/Curtis Bay/Middle Branch), Anacostia tributaries (</w:t>
            </w:r>
            <w:proofErr w:type="spellStart"/>
            <w:r>
              <w:t>eg</w:t>
            </w:r>
            <w:proofErr w:type="spellEnd"/>
            <w:r>
              <w:t>, Lower Beaverdam Creek)</w:t>
            </w:r>
          </w:p>
        </w:tc>
      </w:tr>
      <w:tr w:rsidR="00054FFD" w14:paraId="4EEBBA52" w14:textId="77777777" w:rsidTr="00054FFD">
        <w:tc>
          <w:tcPr>
            <w:tcW w:w="1710" w:type="dxa"/>
          </w:tcPr>
          <w:p w14:paraId="7D42F005" w14:textId="77777777" w:rsidR="00054FFD" w:rsidRDefault="00054FFD" w:rsidP="00BC7AB5">
            <w:r>
              <w:t>VA</w:t>
            </w:r>
          </w:p>
        </w:tc>
        <w:tc>
          <w:tcPr>
            <w:tcW w:w="7470" w:type="dxa"/>
          </w:tcPr>
          <w:p w14:paraId="0BFEF438" w14:textId="77777777" w:rsidR="00054FFD" w:rsidRDefault="00054FFD" w:rsidP="00BC7AB5">
            <w:r>
              <w:t xml:space="preserve"> Potomac tributaries at head of tide</w:t>
            </w:r>
          </w:p>
        </w:tc>
      </w:tr>
      <w:tr w:rsidR="00054FFD" w14:paraId="6FA3B2A5" w14:textId="77777777" w:rsidTr="00054FFD">
        <w:tc>
          <w:tcPr>
            <w:tcW w:w="1710" w:type="dxa"/>
          </w:tcPr>
          <w:p w14:paraId="4457BB8C" w14:textId="77777777" w:rsidR="00054FFD" w:rsidRDefault="00054FFD" w:rsidP="00BC7AB5">
            <w:r>
              <w:t>DE</w:t>
            </w:r>
          </w:p>
        </w:tc>
        <w:tc>
          <w:tcPr>
            <w:tcW w:w="7470" w:type="dxa"/>
          </w:tcPr>
          <w:p w14:paraId="74C2C8F1" w14:textId="77777777" w:rsidR="00054FFD" w:rsidRDefault="00054FFD" w:rsidP="00BC7AB5">
            <w:r>
              <w:t>Nanticoke River</w:t>
            </w:r>
          </w:p>
        </w:tc>
      </w:tr>
    </w:tbl>
    <w:p w14:paraId="22A0AF57" w14:textId="76094FC3" w:rsidR="00054FFD" w:rsidRDefault="00054FFD" w:rsidP="00FF0E80"/>
    <w:p w14:paraId="2849E200" w14:textId="6CCD6078" w:rsidR="00054FFD" w:rsidRPr="00054FFD" w:rsidRDefault="00054FFD" w:rsidP="00FF0E80">
      <w:pPr>
        <w:rPr>
          <w:b/>
          <w:bCs/>
        </w:rPr>
      </w:pPr>
      <w:r w:rsidRPr="00054FFD">
        <w:rPr>
          <w:b/>
          <w:bCs/>
        </w:rPr>
        <w:t>Potential Costs</w:t>
      </w:r>
    </w:p>
    <w:p w14:paraId="4E794829" w14:textId="0A55FC04" w:rsidR="00054FFD" w:rsidRDefault="00054FFD" w:rsidP="00054FFD">
      <w:r>
        <w:t>Given the site-specific nature of ongoing work and variability in geographic</w:t>
      </w:r>
      <w:r w:rsidR="007C6A65">
        <w:t xml:space="preserve"> </w:t>
      </w:r>
      <w:r>
        <w:t xml:space="preserve">areas already highlighted, it is possible that a hybrid approach may be adopted with mixed media sampling.  For estimating purposes only, the following general cost estimates are provided:  </w:t>
      </w:r>
    </w:p>
    <w:p w14:paraId="2746B035" w14:textId="7060A84A" w:rsidR="00E87EBE" w:rsidRDefault="006A5913" w:rsidP="000318C5">
      <w:pPr>
        <w:pStyle w:val="ListParagraph"/>
        <w:numPr>
          <w:ilvl w:val="0"/>
          <w:numId w:val="21"/>
        </w:numPr>
      </w:pPr>
      <w:r>
        <w:t xml:space="preserve">With a focus on fish or shellfish sampling, </w:t>
      </w:r>
      <w:r w:rsidR="00E87EBE">
        <w:t>t</w:t>
      </w:r>
      <w:r w:rsidR="00FF0E80">
        <w:t xml:space="preserve">he estimated cost of </w:t>
      </w:r>
      <w:r w:rsidR="00E87EBE">
        <w:t xml:space="preserve">per </w:t>
      </w:r>
      <w:r w:rsidR="000A6528">
        <w:t>sample location</w:t>
      </w:r>
      <w:r w:rsidR="00E87EBE">
        <w:t xml:space="preserve">, per event </w:t>
      </w:r>
      <w:r w:rsidR="00FF0E80">
        <w:t xml:space="preserve">would </w:t>
      </w:r>
      <w:r w:rsidR="00E87EBE">
        <w:t xml:space="preserve">be approximately </w:t>
      </w:r>
      <w:r w:rsidR="003431A6">
        <w:t>$22,000</w:t>
      </w:r>
      <w:r w:rsidR="00E87EBE">
        <w:t xml:space="preserve">, for a total of $22,000 to $66,000 </w:t>
      </w:r>
      <w:r w:rsidR="007C6A65">
        <w:t xml:space="preserve">per year </w:t>
      </w:r>
      <w:r w:rsidR="00E87EBE">
        <w:t>for 1-3 locations, respectively.</w:t>
      </w:r>
      <w:r w:rsidR="007028D9">
        <w:t xml:space="preserve"> This includes analysis of 10 individual samples at each location</w:t>
      </w:r>
      <w:r w:rsidR="00F70A6F">
        <w:t xml:space="preserve"> with time for sample collection, processing, and analysis</w:t>
      </w:r>
      <w:r w:rsidR="009477B8">
        <w:t xml:space="preserve">.  Fish composites, instead of individual samples, could be considered to provide a representative sample and added cost-savings with loss of statistical power and should be considered depending on data use.  </w:t>
      </w:r>
    </w:p>
    <w:p w14:paraId="1AE80CE9" w14:textId="18D20FEB" w:rsidR="00054FFD" w:rsidRDefault="00E87EBE" w:rsidP="000318C5">
      <w:pPr>
        <w:pStyle w:val="ListParagraph"/>
        <w:numPr>
          <w:ilvl w:val="0"/>
          <w:numId w:val="21"/>
        </w:numPr>
      </w:pPr>
      <w:r>
        <w:t xml:space="preserve">With a focus on </w:t>
      </w:r>
      <w:r w:rsidR="007028D9">
        <w:t xml:space="preserve">quarterly </w:t>
      </w:r>
      <w:r>
        <w:t xml:space="preserve">surface water </w:t>
      </w:r>
      <w:r w:rsidR="009477B8">
        <w:t xml:space="preserve">(water column) </w:t>
      </w:r>
      <w:r>
        <w:t>sampling, the estimated cost per sampling location</w:t>
      </w:r>
      <w:r w:rsidR="009477B8">
        <w:t xml:space="preserve"> </w:t>
      </w:r>
      <w:r>
        <w:t xml:space="preserve">would be approximately </w:t>
      </w:r>
      <w:r w:rsidR="003431A6">
        <w:t xml:space="preserve">$70,000 per </w:t>
      </w:r>
      <w:r>
        <w:t xml:space="preserve">sample location, per event, for a total of $70,000 to $210,000 </w:t>
      </w:r>
      <w:r w:rsidR="007C6A65">
        <w:t xml:space="preserve">per year </w:t>
      </w:r>
      <w:r>
        <w:t xml:space="preserve">for 1-3 locations, respectively.  </w:t>
      </w:r>
      <w:r w:rsidR="00F42A0C">
        <w:t xml:space="preserve">This assumes that there is not an existing streamflow gage for estimated </w:t>
      </w:r>
      <w:r w:rsidR="007C6A65">
        <w:t>loads,</w:t>
      </w:r>
      <w:r w:rsidR="00F42A0C">
        <w:t xml:space="preserve"> and this would have to be constructed and installed at 1-2 locations</w:t>
      </w:r>
      <w:r w:rsidR="00F70A6F">
        <w:t>,</w:t>
      </w:r>
      <w:r w:rsidR="003707BE">
        <w:t xml:space="preserve"> and that passive, time integrated sampling methods would be employed</w:t>
      </w:r>
      <w:r w:rsidR="00F42A0C">
        <w:t xml:space="preserve">.  </w:t>
      </w:r>
    </w:p>
    <w:sectPr w:rsidR="00054FF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46CCB" w14:textId="77777777" w:rsidR="00855AE5" w:rsidRDefault="00855AE5" w:rsidP="00D35B56">
      <w:pPr>
        <w:spacing w:after="0" w:line="240" w:lineRule="auto"/>
      </w:pPr>
      <w:r>
        <w:separator/>
      </w:r>
    </w:p>
  </w:endnote>
  <w:endnote w:type="continuationSeparator" w:id="0">
    <w:p w14:paraId="7CE8FC81" w14:textId="77777777" w:rsidR="00855AE5" w:rsidRDefault="00855AE5" w:rsidP="00D35B56">
      <w:pPr>
        <w:spacing w:after="0" w:line="240" w:lineRule="auto"/>
      </w:pPr>
      <w:r>
        <w:continuationSeparator/>
      </w:r>
    </w:p>
  </w:endnote>
  <w:endnote w:type="continuationNotice" w:id="1">
    <w:p w14:paraId="594C9308" w14:textId="77777777" w:rsidR="00855AE5" w:rsidRDefault="00855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5439621"/>
      <w:docPartObj>
        <w:docPartGallery w:val="Page Numbers (Bottom of Page)"/>
        <w:docPartUnique/>
      </w:docPartObj>
    </w:sdtPr>
    <w:sdtEndPr>
      <w:rPr>
        <w:noProof/>
      </w:rPr>
    </w:sdtEndPr>
    <w:sdtContent>
      <w:p w14:paraId="069AA491" w14:textId="2434189D" w:rsidR="00C86728" w:rsidRDefault="00C86728">
        <w:pPr>
          <w:pStyle w:val="Footer"/>
          <w:jc w:val="center"/>
        </w:pPr>
        <w:r>
          <w:fldChar w:fldCharType="begin"/>
        </w:r>
        <w:r>
          <w:instrText xml:space="preserve"> PAGE   \* MERGEFORMAT </w:instrText>
        </w:r>
        <w:r>
          <w:fldChar w:fldCharType="separate"/>
        </w:r>
        <w:r w:rsidR="005F344B">
          <w:rPr>
            <w:noProof/>
          </w:rPr>
          <w:t>10</w:t>
        </w:r>
        <w:r>
          <w:rPr>
            <w:noProof/>
          </w:rPr>
          <w:fldChar w:fldCharType="end"/>
        </w:r>
      </w:p>
    </w:sdtContent>
  </w:sdt>
  <w:p w14:paraId="7B2D9593" w14:textId="77777777" w:rsidR="00C86728" w:rsidRDefault="00C86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735AD" w14:textId="77777777" w:rsidR="00855AE5" w:rsidRDefault="00855AE5" w:rsidP="00D35B56">
      <w:pPr>
        <w:spacing w:after="0" w:line="240" w:lineRule="auto"/>
      </w:pPr>
      <w:r>
        <w:separator/>
      </w:r>
    </w:p>
  </w:footnote>
  <w:footnote w:type="continuationSeparator" w:id="0">
    <w:p w14:paraId="795C0C62" w14:textId="77777777" w:rsidR="00855AE5" w:rsidRDefault="00855AE5" w:rsidP="00D35B56">
      <w:pPr>
        <w:spacing w:after="0" w:line="240" w:lineRule="auto"/>
      </w:pPr>
      <w:r>
        <w:continuationSeparator/>
      </w:r>
    </w:p>
  </w:footnote>
  <w:footnote w:type="continuationNotice" w:id="1">
    <w:p w14:paraId="42DFC04E" w14:textId="77777777" w:rsidR="00855AE5" w:rsidRDefault="00855A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2B52A" w14:textId="77777777" w:rsidR="00830316" w:rsidRDefault="00830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75CA4"/>
    <w:multiLevelType w:val="hybridMultilevel"/>
    <w:tmpl w:val="94620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E57E93"/>
    <w:multiLevelType w:val="hybridMultilevel"/>
    <w:tmpl w:val="38161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E22DBD"/>
    <w:multiLevelType w:val="multilevel"/>
    <w:tmpl w:val="C562C0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CFB6766"/>
    <w:multiLevelType w:val="multilevel"/>
    <w:tmpl w:val="1CCE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B3D1C"/>
    <w:multiLevelType w:val="hybridMultilevel"/>
    <w:tmpl w:val="36F0F4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D668C5"/>
    <w:multiLevelType w:val="hybridMultilevel"/>
    <w:tmpl w:val="295C0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B719D"/>
    <w:multiLevelType w:val="hybridMultilevel"/>
    <w:tmpl w:val="A816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C0B72"/>
    <w:multiLevelType w:val="hybridMultilevel"/>
    <w:tmpl w:val="9C76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64047"/>
    <w:multiLevelType w:val="hybridMultilevel"/>
    <w:tmpl w:val="69FAF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4B354D"/>
    <w:multiLevelType w:val="hybridMultilevel"/>
    <w:tmpl w:val="E4900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FB1412"/>
    <w:multiLevelType w:val="hybridMultilevel"/>
    <w:tmpl w:val="7386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67703"/>
    <w:multiLevelType w:val="hybridMultilevel"/>
    <w:tmpl w:val="E9C2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34739"/>
    <w:multiLevelType w:val="hybridMultilevel"/>
    <w:tmpl w:val="453680D6"/>
    <w:lvl w:ilvl="0" w:tplc="2188BE98">
      <w:numFmt w:val="bullet"/>
      <w:lvlText w:val=""/>
      <w:lvlJc w:val="left"/>
      <w:pPr>
        <w:ind w:left="820" w:hanging="360"/>
      </w:pPr>
      <w:rPr>
        <w:rFonts w:ascii="Symbol" w:eastAsia="Symbol" w:hAnsi="Symbol" w:cs="Symbol" w:hint="default"/>
        <w:w w:val="100"/>
        <w:sz w:val="22"/>
        <w:szCs w:val="22"/>
        <w:lang w:val="en-US" w:eastAsia="en-US" w:bidi="en-US"/>
      </w:rPr>
    </w:lvl>
    <w:lvl w:ilvl="1" w:tplc="88CA20C0">
      <w:numFmt w:val="bullet"/>
      <w:lvlText w:val="•"/>
      <w:lvlJc w:val="left"/>
      <w:pPr>
        <w:ind w:left="1756" w:hanging="360"/>
      </w:pPr>
      <w:rPr>
        <w:rFonts w:hint="default"/>
        <w:lang w:val="en-US" w:eastAsia="en-US" w:bidi="en-US"/>
      </w:rPr>
    </w:lvl>
    <w:lvl w:ilvl="2" w:tplc="C86438D6">
      <w:numFmt w:val="bullet"/>
      <w:lvlText w:val="•"/>
      <w:lvlJc w:val="left"/>
      <w:pPr>
        <w:ind w:left="2692" w:hanging="360"/>
      </w:pPr>
      <w:rPr>
        <w:rFonts w:hint="default"/>
        <w:lang w:val="en-US" w:eastAsia="en-US" w:bidi="en-US"/>
      </w:rPr>
    </w:lvl>
    <w:lvl w:ilvl="3" w:tplc="CD165E42">
      <w:numFmt w:val="bullet"/>
      <w:lvlText w:val="•"/>
      <w:lvlJc w:val="left"/>
      <w:pPr>
        <w:ind w:left="3628" w:hanging="360"/>
      </w:pPr>
      <w:rPr>
        <w:rFonts w:hint="default"/>
        <w:lang w:val="en-US" w:eastAsia="en-US" w:bidi="en-US"/>
      </w:rPr>
    </w:lvl>
    <w:lvl w:ilvl="4" w:tplc="84985BCC">
      <w:numFmt w:val="bullet"/>
      <w:lvlText w:val="•"/>
      <w:lvlJc w:val="left"/>
      <w:pPr>
        <w:ind w:left="4564" w:hanging="360"/>
      </w:pPr>
      <w:rPr>
        <w:rFonts w:hint="default"/>
        <w:lang w:val="en-US" w:eastAsia="en-US" w:bidi="en-US"/>
      </w:rPr>
    </w:lvl>
    <w:lvl w:ilvl="5" w:tplc="0FE07D72">
      <w:numFmt w:val="bullet"/>
      <w:lvlText w:val="•"/>
      <w:lvlJc w:val="left"/>
      <w:pPr>
        <w:ind w:left="5500" w:hanging="360"/>
      </w:pPr>
      <w:rPr>
        <w:rFonts w:hint="default"/>
        <w:lang w:val="en-US" w:eastAsia="en-US" w:bidi="en-US"/>
      </w:rPr>
    </w:lvl>
    <w:lvl w:ilvl="6" w:tplc="EB28E266">
      <w:numFmt w:val="bullet"/>
      <w:lvlText w:val="•"/>
      <w:lvlJc w:val="left"/>
      <w:pPr>
        <w:ind w:left="6436" w:hanging="360"/>
      </w:pPr>
      <w:rPr>
        <w:rFonts w:hint="default"/>
        <w:lang w:val="en-US" w:eastAsia="en-US" w:bidi="en-US"/>
      </w:rPr>
    </w:lvl>
    <w:lvl w:ilvl="7" w:tplc="F77C0352">
      <w:numFmt w:val="bullet"/>
      <w:lvlText w:val="•"/>
      <w:lvlJc w:val="left"/>
      <w:pPr>
        <w:ind w:left="7372" w:hanging="360"/>
      </w:pPr>
      <w:rPr>
        <w:rFonts w:hint="default"/>
        <w:lang w:val="en-US" w:eastAsia="en-US" w:bidi="en-US"/>
      </w:rPr>
    </w:lvl>
    <w:lvl w:ilvl="8" w:tplc="C734C8FA">
      <w:numFmt w:val="bullet"/>
      <w:lvlText w:val="•"/>
      <w:lvlJc w:val="left"/>
      <w:pPr>
        <w:ind w:left="8308" w:hanging="360"/>
      </w:pPr>
      <w:rPr>
        <w:rFonts w:hint="default"/>
        <w:lang w:val="en-US" w:eastAsia="en-US" w:bidi="en-US"/>
      </w:rPr>
    </w:lvl>
  </w:abstractNum>
  <w:abstractNum w:abstractNumId="13" w15:restartNumberingAfterBreak="0">
    <w:nsid w:val="54087976"/>
    <w:multiLevelType w:val="hybridMultilevel"/>
    <w:tmpl w:val="AB185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2E2B87"/>
    <w:multiLevelType w:val="hybridMultilevel"/>
    <w:tmpl w:val="4608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72FAB"/>
    <w:multiLevelType w:val="hybridMultilevel"/>
    <w:tmpl w:val="035C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537D0"/>
    <w:multiLevelType w:val="multilevel"/>
    <w:tmpl w:val="BB2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94E34"/>
    <w:multiLevelType w:val="hybridMultilevel"/>
    <w:tmpl w:val="B26A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77548"/>
    <w:multiLevelType w:val="multilevel"/>
    <w:tmpl w:val="18B89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5A31A9"/>
    <w:multiLevelType w:val="hybridMultilevel"/>
    <w:tmpl w:val="AB4E8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936BDC"/>
    <w:multiLevelType w:val="hybridMultilevel"/>
    <w:tmpl w:val="5FC6C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6"/>
  </w:num>
  <w:num w:numId="4">
    <w:abstractNumId w:val="17"/>
  </w:num>
  <w:num w:numId="5">
    <w:abstractNumId w:val="4"/>
  </w:num>
  <w:num w:numId="6">
    <w:abstractNumId w:val="11"/>
  </w:num>
  <w:num w:numId="7">
    <w:abstractNumId w:val="20"/>
  </w:num>
  <w:num w:numId="8">
    <w:abstractNumId w:val="14"/>
  </w:num>
  <w:num w:numId="9">
    <w:abstractNumId w:val="5"/>
  </w:num>
  <w:num w:numId="10">
    <w:abstractNumId w:val="7"/>
  </w:num>
  <w:num w:numId="11">
    <w:abstractNumId w:val="19"/>
  </w:num>
  <w:num w:numId="12">
    <w:abstractNumId w:val="0"/>
  </w:num>
  <w:num w:numId="13">
    <w:abstractNumId w:val="10"/>
  </w:num>
  <w:num w:numId="14">
    <w:abstractNumId w:val="12"/>
  </w:num>
  <w:num w:numId="15">
    <w:abstractNumId w:val="2"/>
  </w:num>
  <w:num w:numId="16">
    <w:abstractNumId w:val="1"/>
  </w:num>
  <w:num w:numId="17">
    <w:abstractNumId w:val="18"/>
  </w:num>
  <w:num w:numId="18">
    <w:abstractNumId w:val="9"/>
  </w:num>
  <w:num w:numId="19">
    <w:abstractNumId w:val="3"/>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A3"/>
    <w:rsid w:val="00004EF3"/>
    <w:rsid w:val="000161B0"/>
    <w:rsid w:val="000318C5"/>
    <w:rsid w:val="00054FFD"/>
    <w:rsid w:val="000563E0"/>
    <w:rsid w:val="00073B66"/>
    <w:rsid w:val="00091070"/>
    <w:rsid w:val="0009262A"/>
    <w:rsid w:val="00094ED3"/>
    <w:rsid w:val="00095229"/>
    <w:rsid w:val="000A6528"/>
    <w:rsid w:val="001050E2"/>
    <w:rsid w:val="00130D3C"/>
    <w:rsid w:val="0013266F"/>
    <w:rsid w:val="00133B5B"/>
    <w:rsid w:val="00135633"/>
    <w:rsid w:val="00146BF8"/>
    <w:rsid w:val="00172A17"/>
    <w:rsid w:val="00173ECF"/>
    <w:rsid w:val="001770DA"/>
    <w:rsid w:val="00181948"/>
    <w:rsid w:val="00186CB1"/>
    <w:rsid w:val="00187E88"/>
    <w:rsid w:val="001B120E"/>
    <w:rsid w:val="001C670B"/>
    <w:rsid w:val="00216CBA"/>
    <w:rsid w:val="00227914"/>
    <w:rsid w:val="00237412"/>
    <w:rsid w:val="0028336B"/>
    <w:rsid w:val="002A14E6"/>
    <w:rsid w:val="002E78EA"/>
    <w:rsid w:val="002F76F3"/>
    <w:rsid w:val="00325519"/>
    <w:rsid w:val="00327D45"/>
    <w:rsid w:val="00330B1C"/>
    <w:rsid w:val="00341CB0"/>
    <w:rsid w:val="003431A6"/>
    <w:rsid w:val="003535EF"/>
    <w:rsid w:val="0035547F"/>
    <w:rsid w:val="0035755D"/>
    <w:rsid w:val="00361A6C"/>
    <w:rsid w:val="0036539C"/>
    <w:rsid w:val="003707BE"/>
    <w:rsid w:val="0037767F"/>
    <w:rsid w:val="00391E03"/>
    <w:rsid w:val="003B1917"/>
    <w:rsid w:val="004143F2"/>
    <w:rsid w:val="00437CF5"/>
    <w:rsid w:val="004404EB"/>
    <w:rsid w:val="00441C3C"/>
    <w:rsid w:val="00465488"/>
    <w:rsid w:val="00466ADC"/>
    <w:rsid w:val="00467819"/>
    <w:rsid w:val="00494A23"/>
    <w:rsid w:val="004B0D26"/>
    <w:rsid w:val="004D06EF"/>
    <w:rsid w:val="004E10BB"/>
    <w:rsid w:val="004F661A"/>
    <w:rsid w:val="00525DD4"/>
    <w:rsid w:val="0053406D"/>
    <w:rsid w:val="005434DA"/>
    <w:rsid w:val="00553515"/>
    <w:rsid w:val="0056044A"/>
    <w:rsid w:val="0057234D"/>
    <w:rsid w:val="00587187"/>
    <w:rsid w:val="0059415F"/>
    <w:rsid w:val="005F344B"/>
    <w:rsid w:val="00606363"/>
    <w:rsid w:val="00620250"/>
    <w:rsid w:val="006258E3"/>
    <w:rsid w:val="00647AFE"/>
    <w:rsid w:val="006569D5"/>
    <w:rsid w:val="00696A73"/>
    <w:rsid w:val="006A4C11"/>
    <w:rsid w:val="006A5913"/>
    <w:rsid w:val="006D1A21"/>
    <w:rsid w:val="006E464B"/>
    <w:rsid w:val="007028D9"/>
    <w:rsid w:val="00703982"/>
    <w:rsid w:val="007242D5"/>
    <w:rsid w:val="00735B78"/>
    <w:rsid w:val="00745EE6"/>
    <w:rsid w:val="00753F67"/>
    <w:rsid w:val="00761C62"/>
    <w:rsid w:val="00763721"/>
    <w:rsid w:val="00764F87"/>
    <w:rsid w:val="007742B8"/>
    <w:rsid w:val="007908D5"/>
    <w:rsid w:val="007A7B8E"/>
    <w:rsid w:val="007C6A65"/>
    <w:rsid w:val="007C7A7D"/>
    <w:rsid w:val="00830316"/>
    <w:rsid w:val="00855AE5"/>
    <w:rsid w:val="00873E29"/>
    <w:rsid w:val="00875C62"/>
    <w:rsid w:val="00876196"/>
    <w:rsid w:val="00876590"/>
    <w:rsid w:val="00893B67"/>
    <w:rsid w:val="008A673A"/>
    <w:rsid w:val="008C3189"/>
    <w:rsid w:val="008E53A6"/>
    <w:rsid w:val="008F5DF2"/>
    <w:rsid w:val="008F72A4"/>
    <w:rsid w:val="0091733D"/>
    <w:rsid w:val="009477B8"/>
    <w:rsid w:val="00956E4B"/>
    <w:rsid w:val="00970F92"/>
    <w:rsid w:val="00995C3E"/>
    <w:rsid w:val="009C5C2A"/>
    <w:rsid w:val="009D749D"/>
    <w:rsid w:val="00A13280"/>
    <w:rsid w:val="00A64BED"/>
    <w:rsid w:val="00AA25BB"/>
    <w:rsid w:val="00AA4D22"/>
    <w:rsid w:val="00AA7313"/>
    <w:rsid w:val="00AB4850"/>
    <w:rsid w:val="00AB7DB2"/>
    <w:rsid w:val="00AC78DA"/>
    <w:rsid w:val="00AD043A"/>
    <w:rsid w:val="00AD064F"/>
    <w:rsid w:val="00AF0CCC"/>
    <w:rsid w:val="00B2467A"/>
    <w:rsid w:val="00B3437F"/>
    <w:rsid w:val="00B36B05"/>
    <w:rsid w:val="00B501CB"/>
    <w:rsid w:val="00B52C97"/>
    <w:rsid w:val="00B61A0A"/>
    <w:rsid w:val="00B66FA0"/>
    <w:rsid w:val="00B701D7"/>
    <w:rsid w:val="00B759D8"/>
    <w:rsid w:val="00B82691"/>
    <w:rsid w:val="00B95812"/>
    <w:rsid w:val="00B97C16"/>
    <w:rsid w:val="00BA6A33"/>
    <w:rsid w:val="00BC7511"/>
    <w:rsid w:val="00C17C62"/>
    <w:rsid w:val="00C266EA"/>
    <w:rsid w:val="00C41568"/>
    <w:rsid w:val="00C47145"/>
    <w:rsid w:val="00C562A9"/>
    <w:rsid w:val="00C605FD"/>
    <w:rsid w:val="00C626DD"/>
    <w:rsid w:val="00C70F39"/>
    <w:rsid w:val="00C86728"/>
    <w:rsid w:val="00C87303"/>
    <w:rsid w:val="00C917EF"/>
    <w:rsid w:val="00C929FB"/>
    <w:rsid w:val="00CD1174"/>
    <w:rsid w:val="00CF6A52"/>
    <w:rsid w:val="00D16DAF"/>
    <w:rsid w:val="00D320EE"/>
    <w:rsid w:val="00D35B56"/>
    <w:rsid w:val="00D36DD7"/>
    <w:rsid w:val="00D73FC4"/>
    <w:rsid w:val="00D86750"/>
    <w:rsid w:val="00D950A3"/>
    <w:rsid w:val="00DA4837"/>
    <w:rsid w:val="00DB5FD5"/>
    <w:rsid w:val="00DC2558"/>
    <w:rsid w:val="00DC59DE"/>
    <w:rsid w:val="00DD3F2B"/>
    <w:rsid w:val="00DF3B1B"/>
    <w:rsid w:val="00DF6337"/>
    <w:rsid w:val="00E02E7F"/>
    <w:rsid w:val="00E03C00"/>
    <w:rsid w:val="00E15982"/>
    <w:rsid w:val="00E178E3"/>
    <w:rsid w:val="00E44B6F"/>
    <w:rsid w:val="00E6132A"/>
    <w:rsid w:val="00E71496"/>
    <w:rsid w:val="00E87EBE"/>
    <w:rsid w:val="00EA18B1"/>
    <w:rsid w:val="00EB10E3"/>
    <w:rsid w:val="00ED662A"/>
    <w:rsid w:val="00EE3178"/>
    <w:rsid w:val="00EF61F9"/>
    <w:rsid w:val="00EF6F4E"/>
    <w:rsid w:val="00F21E2C"/>
    <w:rsid w:val="00F2427E"/>
    <w:rsid w:val="00F42A0C"/>
    <w:rsid w:val="00F52796"/>
    <w:rsid w:val="00F70A6F"/>
    <w:rsid w:val="00F72B6B"/>
    <w:rsid w:val="00F913ED"/>
    <w:rsid w:val="00F93586"/>
    <w:rsid w:val="00FC7EA5"/>
    <w:rsid w:val="00FF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7DFB"/>
  <w15:chartTrackingRefBased/>
  <w15:docId w15:val="{F50122A4-D800-4F25-BD04-579D4AA8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0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2C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A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950A3"/>
    <w:pPr>
      <w:ind w:left="720"/>
      <w:contextualSpacing/>
    </w:pPr>
  </w:style>
  <w:style w:type="character" w:styleId="Hyperlink">
    <w:name w:val="Hyperlink"/>
    <w:basedOn w:val="DefaultParagraphFont"/>
    <w:uiPriority w:val="99"/>
    <w:unhideWhenUsed/>
    <w:rsid w:val="00A64BED"/>
    <w:rPr>
      <w:color w:val="0000FF"/>
      <w:u w:val="single"/>
    </w:rPr>
  </w:style>
  <w:style w:type="character" w:customStyle="1" w:styleId="Heading2Char">
    <w:name w:val="Heading 2 Char"/>
    <w:basedOn w:val="DefaultParagraphFont"/>
    <w:link w:val="Heading2"/>
    <w:uiPriority w:val="9"/>
    <w:rsid w:val="00B52C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2C9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5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B56"/>
  </w:style>
  <w:style w:type="paragraph" w:styleId="Footer">
    <w:name w:val="footer"/>
    <w:basedOn w:val="Normal"/>
    <w:link w:val="FooterChar"/>
    <w:uiPriority w:val="99"/>
    <w:unhideWhenUsed/>
    <w:rsid w:val="00D35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B56"/>
  </w:style>
  <w:style w:type="character" w:styleId="CommentReference">
    <w:name w:val="annotation reference"/>
    <w:basedOn w:val="DefaultParagraphFont"/>
    <w:uiPriority w:val="99"/>
    <w:semiHidden/>
    <w:unhideWhenUsed/>
    <w:rsid w:val="00AC78DA"/>
    <w:rPr>
      <w:sz w:val="16"/>
      <w:szCs w:val="16"/>
    </w:rPr>
  </w:style>
  <w:style w:type="paragraph" w:styleId="CommentText">
    <w:name w:val="annotation text"/>
    <w:basedOn w:val="Normal"/>
    <w:link w:val="CommentTextChar"/>
    <w:uiPriority w:val="99"/>
    <w:semiHidden/>
    <w:unhideWhenUsed/>
    <w:rsid w:val="00AC78DA"/>
    <w:pPr>
      <w:spacing w:line="240" w:lineRule="auto"/>
    </w:pPr>
    <w:rPr>
      <w:sz w:val="20"/>
      <w:szCs w:val="20"/>
    </w:rPr>
  </w:style>
  <w:style w:type="character" w:customStyle="1" w:styleId="CommentTextChar">
    <w:name w:val="Comment Text Char"/>
    <w:basedOn w:val="DefaultParagraphFont"/>
    <w:link w:val="CommentText"/>
    <w:uiPriority w:val="99"/>
    <w:semiHidden/>
    <w:rsid w:val="00AC78DA"/>
    <w:rPr>
      <w:sz w:val="20"/>
      <w:szCs w:val="20"/>
    </w:rPr>
  </w:style>
  <w:style w:type="paragraph" w:styleId="CommentSubject">
    <w:name w:val="annotation subject"/>
    <w:basedOn w:val="CommentText"/>
    <w:next w:val="CommentText"/>
    <w:link w:val="CommentSubjectChar"/>
    <w:uiPriority w:val="99"/>
    <w:semiHidden/>
    <w:unhideWhenUsed/>
    <w:rsid w:val="00AC78DA"/>
    <w:rPr>
      <w:b/>
      <w:bCs/>
    </w:rPr>
  </w:style>
  <w:style w:type="character" w:customStyle="1" w:styleId="CommentSubjectChar">
    <w:name w:val="Comment Subject Char"/>
    <w:basedOn w:val="CommentTextChar"/>
    <w:link w:val="CommentSubject"/>
    <w:uiPriority w:val="99"/>
    <w:semiHidden/>
    <w:rsid w:val="00AC78DA"/>
    <w:rPr>
      <w:b/>
      <w:bCs/>
      <w:sz w:val="20"/>
      <w:szCs w:val="20"/>
    </w:rPr>
  </w:style>
  <w:style w:type="paragraph" w:styleId="BalloonText">
    <w:name w:val="Balloon Text"/>
    <w:basedOn w:val="Normal"/>
    <w:link w:val="BalloonTextChar"/>
    <w:uiPriority w:val="99"/>
    <w:semiHidden/>
    <w:unhideWhenUsed/>
    <w:rsid w:val="00AC7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8DA"/>
    <w:rPr>
      <w:rFonts w:ascii="Segoe UI" w:hAnsi="Segoe UI" w:cs="Segoe UI"/>
      <w:sz w:val="18"/>
      <w:szCs w:val="18"/>
    </w:rPr>
  </w:style>
  <w:style w:type="paragraph" w:styleId="Revision">
    <w:name w:val="Revision"/>
    <w:hidden/>
    <w:uiPriority w:val="99"/>
    <w:semiHidden/>
    <w:rsid w:val="006E464B"/>
    <w:pPr>
      <w:spacing w:after="0" w:line="240" w:lineRule="auto"/>
    </w:pPr>
  </w:style>
  <w:style w:type="table" w:styleId="TableGrid">
    <w:name w:val="Table Grid"/>
    <w:basedOn w:val="TableNormal"/>
    <w:uiPriority w:val="39"/>
    <w:rsid w:val="00DF3B1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7145"/>
    <w:rPr>
      <w:color w:val="605E5C"/>
      <w:shd w:val="clear" w:color="auto" w:fill="E1DFDD"/>
    </w:rPr>
  </w:style>
  <w:style w:type="character" w:customStyle="1" w:styleId="markuoea6hd3g">
    <w:name w:val="markuoea6hd3g"/>
    <w:basedOn w:val="DefaultParagraphFont"/>
    <w:rsid w:val="00370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172051">
      <w:bodyDiv w:val="1"/>
      <w:marLeft w:val="0"/>
      <w:marRight w:val="0"/>
      <w:marTop w:val="0"/>
      <w:marBottom w:val="0"/>
      <w:divBdr>
        <w:top w:val="none" w:sz="0" w:space="0" w:color="auto"/>
        <w:left w:val="none" w:sz="0" w:space="0" w:color="auto"/>
        <w:bottom w:val="none" w:sz="0" w:space="0" w:color="auto"/>
        <w:right w:val="none" w:sz="0" w:space="0" w:color="auto"/>
      </w:divBdr>
    </w:div>
    <w:div w:id="993876455">
      <w:bodyDiv w:val="1"/>
      <w:marLeft w:val="0"/>
      <w:marRight w:val="0"/>
      <w:marTop w:val="0"/>
      <w:marBottom w:val="0"/>
      <w:divBdr>
        <w:top w:val="none" w:sz="0" w:space="0" w:color="auto"/>
        <w:left w:val="none" w:sz="0" w:space="0" w:color="auto"/>
        <w:bottom w:val="none" w:sz="0" w:space="0" w:color="auto"/>
        <w:right w:val="none" w:sz="0" w:space="0" w:color="auto"/>
      </w:divBdr>
    </w:div>
    <w:div w:id="1594321246">
      <w:bodyDiv w:val="1"/>
      <w:marLeft w:val="0"/>
      <w:marRight w:val="0"/>
      <w:marTop w:val="0"/>
      <w:marBottom w:val="0"/>
      <w:divBdr>
        <w:top w:val="none" w:sz="0" w:space="0" w:color="auto"/>
        <w:left w:val="none" w:sz="0" w:space="0" w:color="auto"/>
        <w:bottom w:val="none" w:sz="0" w:space="0" w:color="auto"/>
        <w:right w:val="none" w:sz="0" w:space="0" w:color="auto"/>
      </w:divBdr>
      <w:divsChild>
        <w:div w:id="62684089">
          <w:marLeft w:val="0"/>
          <w:marRight w:val="0"/>
          <w:marTop w:val="0"/>
          <w:marBottom w:val="0"/>
          <w:divBdr>
            <w:top w:val="none" w:sz="0" w:space="0" w:color="auto"/>
            <w:left w:val="none" w:sz="0" w:space="0" w:color="auto"/>
            <w:bottom w:val="none" w:sz="0" w:space="0" w:color="auto"/>
            <w:right w:val="none" w:sz="0" w:space="0" w:color="auto"/>
          </w:divBdr>
        </w:div>
        <w:div w:id="72775000">
          <w:marLeft w:val="0"/>
          <w:marRight w:val="0"/>
          <w:marTop w:val="0"/>
          <w:marBottom w:val="0"/>
          <w:divBdr>
            <w:top w:val="none" w:sz="0" w:space="0" w:color="auto"/>
            <w:left w:val="none" w:sz="0" w:space="0" w:color="auto"/>
            <w:bottom w:val="none" w:sz="0" w:space="0" w:color="auto"/>
            <w:right w:val="none" w:sz="0" w:space="0" w:color="auto"/>
          </w:divBdr>
        </w:div>
        <w:div w:id="1742865670">
          <w:marLeft w:val="0"/>
          <w:marRight w:val="0"/>
          <w:marTop w:val="0"/>
          <w:marBottom w:val="0"/>
          <w:divBdr>
            <w:top w:val="none" w:sz="0" w:space="0" w:color="auto"/>
            <w:left w:val="none" w:sz="0" w:space="0" w:color="auto"/>
            <w:bottom w:val="none" w:sz="0" w:space="0" w:color="auto"/>
            <w:right w:val="none" w:sz="0" w:space="0" w:color="auto"/>
          </w:divBdr>
        </w:div>
        <w:div w:id="1209026639">
          <w:marLeft w:val="0"/>
          <w:marRight w:val="0"/>
          <w:marTop w:val="0"/>
          <w:marBottom w:val="0"/>
          <w:divBdr>
            <w:top w:val="none" w:sz="0" w:space="0" w:color="auto"/>
            <w:left w:val="none" w:sz="0" w:space="0" w:color="auto"/>
            <w:bottom w:val="none" w:sz="0" w:space="0" w:color="auto"/>
            <w:right w:val="none" w:sz="0" w:space="0" w:color="auto"/>
          </w:divBdr>
        </w:div>
        <w:div w:id="167451727">
          <w:marLeft w:val="0"/>
          <w:marRight w:val="0"/>
          <w:marTop w:val="0"/>
          <w:marBottom w:val="0"/>
          <w:divBdr>
            <w:top w:val="none" w:sz="0" w:space="0" w:color="auto"/>
            <w:left w:val="none" w:sz="0" w:space="0" w:color="auto"/>
            <w:bottom w:val="none" w:sz="0" w:space="0" w:color="auto"/>
            <w:right w:val="none" w:sz="0" w:space="0" w:color="auto"/>
          </w:divBdr>
        </w:div>
        <w:div w:id="134183764">
          <w:marLeft w:val="0"/>
          <w:marRight w:val="0"/>
          <w:marTop w:val="0"/>
          <w:marBottom w:val="0"/>
          <w:divBdr>
            <w:top w:val="none" w:sz="0" w:space="0" w:color="auto"/>
            <w:left w:val="none" w:sz="0" w:space="0" w:color="auto"/>
            <w:bottom w:val="none" w:sz="0" w:space="0" w:color="auto"/>
            <w:right w:val="none" w:sz="0" w:space="0" w:color="auto"/>
          </w:divBdr>
        </w:div>
        <w:div w:id="1895001021">
          <w:marLeft w:val="0"/>
          <w:marRight w:val="0"/>
          <w:marTop w:val="0"/>
          <w:marBottom w:val="0"/>
          <w:divBdr>
            <w:top w:val="none" w:sz="0" w:space="0" w:color="auto"/>
            <w:left w:val="none" w:sz="0" w:space="0" w:color="auto"/>
            <w:bottom w:val="none" w:sz="0" w:space="0" w:color="auto"/>
            <w:right w:val="none" w:sz="0" w:space="0" w:color="auto"/>
          </w:divBdr>
        </w:div>
        <w:div w:id="1425684115">
          <w:marLeft w:val="0"/>
          <w:marRight w:val="0"/>
          <w:marTop w:val="0"/>
          <w:marBottom w:val="0"/>
          <w:divBdr>
            <w:top w:val="none" w:sz="0" w:space="0" w:color="auto"/>
            <w:left w:val="none" w:sz="0" w:space="0" w:color="auto"/>
            <w:bottom w:val="none" w:sz="0" w:space="0" w:color="auto"/>
            <w:right w:val="none" w:sz="0" w:space="0" w:color="auto"/>
          </w:divBdr>
        </w:div>
        <w:div w:id="718239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esapeakebay.net/channel_files/42079/tcw_discussion_9_8_2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chesapeakeprogress.com/clean-water/toxic-contaminants-policy-and-preventio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7F42E-3C64-4BEC-89A7-2FB12CAE3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Scott W</dc:creator>
  <cp:keywords/>
  <dc:description/>
  <cp:lastModifiedBy>Phillips, Scott W</cp:lastModifiedBy>
  <cp:revision>5</cp:revision>
  <cp:lastPrinted>2021-11-09T13:56:00Z</cp:lastPrinted>
  <dcterms:created xsi:type="dcterms:W3CDTF">2021-11-09T13:56:00Z</dcterms:created>
  <dcterms:modified xsi:type="dcterms:W3CDTF">2021-11-09T16:14:00Z</dcterms:modified>
</cp:coreProperties>
</file>