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92F7F" w14:textId="71E02750" w:rsidR="00D950A3" w:rsidRDefault="00D741CC" w:rsidP="00D950A3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 xml:space="preserve">Executive Summary: </w:t>
      </w:r>
      <w:r w:rsidR="00B501CB">
        <w:rPr>
          <w:rFonts w:eastAsia="Times New Roman"/>
        </w:rPr>
        <w:t xml:space="preserve">Enhancing Monitoring to Address </w:t>
      </w:r>
      <w:r w:rsidR="00D950A3">
        <w:rPr>
          <w:rFonts w:eastAsia="Times New Roman"/>
        </w:rPr>
        <w:t>the CBP Toxic Contaminant Outcomes</w:t>
      </w:r>
    </w:p>
    <w:p w14:paraId="50284552" w14:textId="70A56092" w:rsidR="00D950A3" w:rsidRDefault="00121BAF" w:rsidP="00D950A3">
      <w:r>
        <w:t>Draft</w:t>
      </w:r>
      <w:r w:rsidR="00D741CC">
        <w:t xml:space="preserve"> </w:t>
      </w:r>
      <w:r w:rsidR="00A475D8">
        <w:t xml:space="preserve">November </w:t>
      </w:r>
      <w:r w:rsidR="00FD40C3">
        <w:t>9</w:t>
      </w:r>
      <w:r w:rsidR="00173ECF">
        <w:t>, 2021</w:t>
      </w:r>
    </w:p>
    <w:p w14:paraId="3BEFA147" w14:textId="706D725E" w:rsidR="008B3F9A" w:rsidRDefault="00C03C33" w:rsidP="008B3F9A">
      <w:r>
        <w:t>To address the PSC request for information on enhanced monitoring, t</w:t>
      </w:r>
      <w:r w:rsidR="008B3F9A" w:rsidRPr="00DA6EF7">
        <w:t xml:space="preserve">he </w:t>
      </w:r>
      <w:r w:rsidR="008B3F9A">
        <w:t xml:space="preserve">CBP </w:t>
      </w:r>
      <w:r w:rsidR="008B3F9A" w:rsidRPr="00DA6EF7">
        <w:t>T</w:t>
      </w:r>
      <w:r w:rsidR="008B3F9A">
        <w:t xml:space="preserve">oxic </w:t>
      </w:r>
      <w:r w:rsidR="008B3F9A" w:rsidRPr="00DA6EF7">
        <w:t>C</w:t>
      </w:r>
      <w:r w:rsidR="008B3F9A">
        <w:t xml:space="preserve">ontaminant </w:t>
      </w:r>
      <w:r w:rsidR="008B3F9A" w:rsidRPr="00DA6EF7">
        <w:t>W</w:t>
      </w:r>
      <w:r w:rsidR="008B3F9A">
        <w:t>orkgroup (TCW)</w:t>
      </w:r>
      <w:r w:rsidR="008B3F9A" w:rsidRPr="00DA6EF7">
        <w:t xml:space="preserve"> reviewed the two outcomes in the Chesapeake Bay Agreement </w:t>
      </w:r>
      <w:r>
        <w:t xml:space="preserve">for the Toxic Contaminant Goal. The Policy </w:t>
      </w:r>
      <w:r w:rsidR="008B3F9A">
        <w:t>and Prevention</w:t>
      </w:r>
      <w:r>
        <w:t xml:space="preserve"> </w:t>
      </w:r>
      <w:r w:rsidR="0064480C">
        <w:t xml:space="preserve">outcome </w:t>
      </w:r>
      <w:r>
        <w:t xml:space="preserve">addresses PCB </w:t>
      </w:r>
      <w:r w:rsidR="0010164D">
        <w:t>reductions,</w:t>
      </w:r>
      <w:r w:rsidR="008B3F9A">
        <w:t xml:space="preserve"> </w:t>
      </w:r>
      <w:r>
        <w:t xml:space="preserve">while the </w:t>
      </w:r>
      <w:r w:rsidR="008B3F9A">
        <w:t>Research</w:t>
      </w:r>
      <w:r w:rsidR="00CC5D72">
        <w:t xml:space="preserve"> </w:t>
      </w:r>
      <w:r w:rsidR="0064480C">
        <w:t>o</w:t>
      </w:r>
      <w:r>
        <w:t>utcome is focused on</w:t>
      </w:r>
      <w:r w:rsidR="008B3F9A" w:rsidRPr="00C47145">
        <w:t xml:space="preserve"> increas</w:t>
      </w:r>
      <w:r>
        <w:t>ing</w:t>
      </w:r>
      <w:r w:rsidR="008B3F9A" w:rsidRPr="00C47145">
        <w:t xml:space="preserve"> our under</w:t>
      </w:r>
      <w:r w:rsidR="008B3F9A" w:rsidRPr="00DA6EF7">
        <w:t>standing of the impacts and mitigation options for toxic contaminants</w:t>
      </w:r>
      <w:r>
        <w:t>.</w:t>
      </w:r>
      <w:r w:rsidR="00CC5D72">
        <w:t xml:space="preserve"> </w:t>
      </w:r>
      <w:r>
        <w:t xml:space="preserve">The TCW developed a discussion paper </w:t>
      </w:r>
      <w:r w:rsidR="0064480C">
        <w:t xml:space="preserve">on enhanced monitoring </w:t>
      </w:r>
      <w:r>
        <w:t xml:space="preserve">to reflect their approach and decisions, and this document serves as </w:t>
      </w:r>
      <w:r w:rsidR="0064480C">
        <w:t xml:space="preserve">its </w:t>
      </w:r>
      <w:r>
        <w:t xml:space="preserve">Executive Summary.    </w:t>
      </w:r>
    </w:p>
    <w:p w14:paraId="23DC9F9C" w14:textId="173A31E1" w:rsidR="001770DA" w:rsidRPr="008B3F9A" w:rsidRDefault="001770DA" w:rsidP="008B3F9A">
      <w:pPr>
        <w:pStyle w:val="Heading3"/>
        <w:rPr>
          <w:b/>
          <w:bCs/>
        </w:rPr>
      </w:pPr>
      <w:r w:rsidRPr="00DA6EF7">
        <w:rPr>
          <w:b/>
          <w:bCs/>
        </w:rPr>
        <w:t xml:space="preserve">Need for </w:t>
      </w:r>
      <w:r w:rsidR="0064480C">
        <w:rPr>
          <w:b/>
          <w:bCs/>
        </w:rPr>
        <w:t>E</w:t>
      </w:r>
      <w:r w:rsidRPr="00DA6EF7">
        <w:rPr>
          <w:b/>
          <w:bCs/>
        </w:rPr>
        <w:t xml:space="preserve">nhanced </w:t>
      </w:r>
      <w:r w:rsidR="0064480C">
        <w:rPr>
          <w:b/>
          <w:bCs/>
        </w:rPr>
        <w:t>M</w:t>
      </w:r>
      <w:r w:rsidRPr="00DA6EF7">
        <w:rPr>
          <w:b/>
          <w:bCs/>
        </w:rPr>
        <w:t xml:space="preserve">onitoring  </w:t>
      </w:r>
    </w:p>
    <w:p w14:paraId="70D6E4AA" w14:textId="42A7E0A0" w:rsidR="00735B78" w:rsidRDefault="0053406D" w:rsidP="0053406D">
      <w:pPr>
        <w:spacing w:after="0"/>
      </w:pPr>
      <w:r>
        <w:t xml:space="preserve">The </w:t>
      </w:r>
      <w:r w:rsidR="00553515">
        <w:t xml:space="preserve">TCW </w:t>
      </w:r>
      <w:r>
        <w:t xml:space="preserve">identified four monitoring needs associated with </w:t>
      </w:r>
      <w:r w:rsidR="001770DA">
        <w:t xml:space="preserve">the </w:t>
      </w:r>
      <w:r>
        <w:t>two outcomes:</w:t>
      </w:r>
    </w:p>
    <w:p w14:paraId="61F7AFB7" w14:textId="52F08033" w:rsidR="00216CBA" w:rsidRDefault="00735B78" w:rsidP="0053406D">
      <w:pPr>
        <w:pStyle w:val="ListParagraph"/>
        <w:numPr>
          <w:ilvl w:val="0"/>
          <w:numId w:val="11"/>
        </w:numPr>
        <w:spacing w:after="0"/>
      </w:pPr>
      <w:r>
        <w:t>Changes to PCBs</w:t>
      </w:r>
      <w:r w:rsidR="00E03C00">
        <w:t xml:space="preserve"> levels </w:t>
      </w:r>
      <w:r>
        <w:t xml:space="preserve">as </w:t>
      </w:r>
      <w:r w:rsidR="00C47145">
        <w:t>total maximum daily loads (</w:t>
      </w:r>
      <w:r>
        <w:t>TMDLs</w:t>
      </w:r>
      <w:r w:rsidR="00C47145">
        <w:t>)</w:t>
      </w:r>
      <w:r>
        <w:t xml:space="preserve"> and associated management actions are implemented</w:t>
      </w:r>
      <w:r w:rsidR="001770DA">
        <w:t>.</w:t>
      </w:r>
    </w:p>
    <w:p w14:paraId="68A992E2" w14:textId="55CA1789" w:rsidR="00735B78" w:rsidRDefault="00735B78" w:rsidP="0053406D">
      <w:pPr>
        <w:pStyle w:val="ListParagraph"/>
        <w:numPr>
          <w:ilvl w:val="0"/>
          <w:numId w:val="11"/>
        </w:numPr>
        <w:spacing w:after="0"/>
      </w:pPr>
      <w:r>
        <w:t>Changes to mercury as TMDLs and associated management actions are implemented</w:t>
      </w:r>
      <w:r w:rsidR="001770DA">
        <w:t>.</w:t>
      </w:r>
    </w:p>
    <w:p w14:paraId="6ACC21CF" w14:textId="215D2957" w:rsidR="00735B78" w:rsidRDefault="00735B78" w:rsidP="00735B78">
      <w:pPr>
        <w:pStyle w:val="ListParagraph"/>
        <w:numPr>
          <w:ilvl w:val="0"/>
          <w:numId w:val="11"/>
        </w:numPr>
      </w:pPr>
      <w:r>
        <w:t>Assessing contaminants of widespread concern (such as pesticides)</w:t>
      </w:r>
      <w:r w:rsidR="001770DA">
        <w:t>.</w:t>
      </w:r>
    </w:p>
    <w:p w14:paraId="21346CBB" w14:textId="787D3180" w:rsidR="00735B78" w:rsidRDefault="00735B78" w:rsidP="00735B78">
      <w:pPr>
        <w:pStyle w:val="ListParagraph"/>
        <w:numPr>
          <w:ilvl w:val="0"/>
          <w:numId w:val="11"/>
        </w:numPr>
      </w:pPr>
      <w:r>
        <w:t xml:space="preserve">Assessing contaminants of emerging concern (such as </w:t>
      </w:r>
      <w:r w:rsidR="00C47145">
        <w:t xml:space="preserve">per and polyfluoroalkyl substances </w:t>
      </w:r>
      <w:r w:rsidR="00EF61F9">
        <w:t>[</w:t>
      </w:r>
      <w:r>
        <w:t>PFAS</w:t>
      </w:r>
      <w:r w:rsidR="00EF61F9">
        <w:t>]</w:t>
      </w:r>
      <w:r>
        <w:t xml:space="preserve"> and microplastics)</w:t>
      </w:r>
      <w:r w:rsidR="001770DA">
        <w:t>.</w:t>
      </w:r>
      <w:r>
        <w:t xml:space="preserve"> </w:t>
      </w:r>
    </w:p>
    <w:p w14:paraId="30F645FB" w14:textId="1A6E59C6" w:rsidR="00146BF8" w:rsidRDefault="00173ECF" w:rsidP="005C7AE3">
      <w:pPr>
        <w:spacing w:after="0"/>
      </w:pPr>
      <w:r w:rsidRPr="0053406D">
        <w:t>The</w:t>
      </w:r>
      <w:r w:rsidR="005C7AE3">
        <w:t xml:space="preserve"> TCW decided the two highest </w:t>
      </w:r>
      <w:r w:rsidR="00C03C33">
        <w:t xml:space="preserve">monitoring </w:t>
      </w:r>
      <w:r w:rsidR="005C7AE3">
        <w:t xml:space="preserve">priorities were </w:t>
      </w:r>
      <w:r w:rsidR="008B3F9A">
        <w:t xml:space="preserve">(1) </w:t>
      </w:r>
      <w:r w:rsidR="00146BF8" w:rsidRPr="00173ECF">
        <w:t xml:space="preserve">PCBs and </w:t>
      </w:r>
      <w:r w:rsidR="008B3F9A">
        <w:t xml:space="preserve">(2) </w:t>
      </w:r>
      <w:r w:rsidR="00146BF8" w:rsidRPr="00173ECF">
        <w:t>emerging contaminants (</w:t>
      </w:r>
      <w:r w:rsidR="0037767F">
        <w:t>specifically,</w:t>
      </w:r>
      <w:r w:rsidR="00146BF8" w:rsidRPr="00173ECF">
        <w:t xml:space="preserve"> PFAS and microplastics); </w:t>
      </w:r>
      <w:r w:rsidR="005C7AE3">
        <w:t xml:space="preserve">The lower priorities were </w:t>
      </w:r>
      <w:r w:rsidR="008B3F9A">
        <w:t xml:space="preserve">(3) </w:t>
      </w:r>
      <w:r w:rsidR="005C7AE3">
        <w:t>c</w:t>
      </w:r>
      <w:r w:rsidR="00216CBA" w:rsidRPr="00173ECF">
        <w:t>ontaminants</w:t>
      </w:r>
      <w:r w:rsidR="00146BF8" w:rsidRPr="00173ECF">
        <w:t xml:space="preserve"> of </w:t>
      </w:r>
      <w:r w:rsidR="00F2427E" w:rsidRPr="00173ECF">
        <w:t>widespread concern (</w:t>
      </w:r>
      <w:r w:rsidR="0037767F">
        <w:t xml:space="preserve">specifically, </w:t>
      </w:r>
      <w:r w:rsidR="00F2427E" w:rsidRPr="00173ECF">
        <w:t>pesticides</w:t>
      </w:r>
      <w:r w:rsidR="001770DA">
        <w:t>)</w:t>
      </w:r>
      <w:r w:rsidR="005C7AE3">
        <w:t xml:space="preserve">, and </w:t>
      </w:r>
      <w:r w:rsidR="008B3F9A">
        <w:t xml:space="preserve">(4) </w:t>
      </w:r>
      <w:r w:rsidR="005C7AE3">
        <w:t>m</w:t>
      </w:r>
      <w:r w:rsidR="00146BF8" w:rsidRPr="00173ECF">
        <w:t>ercury</w:t>
      </w:r>
      <w:r w:rsidR="005C7AE3">
        <w:t>.</w:t>
      </w:r>
    </w:p>
    <w:p w14:paraId="7F8979F5" w14:textId="77777777" w:rsidR="00CC5D72" w:rsidRPr="00173ECF" w:rsidRDefault="00CC5D72" w:rsidP="005C7AE3">
      <w:pPr>
        <w:spacing w:after="0"/>
      </w:pPr>
    </w:p>
    <w:p w14:paraId="4B3E9115" w14:textId="23DBC404" w:rsidR="00E178E3" w:rsidRPr="00B701D7" w:rsidRDefault="00227914" w:rsidP="00B701D7">
      <w:pPr>
        <w:pStyle w:val="Heading3"/>
        <w:rPr>
          <w:b/>
          <w:bCs/>
        </w:rPr>
      </w:pPr>
      <w:r w:rsidRPr="00B701D7">
        <w:rPr>
          <w:b/>
          <w:bCs/>
        </w:rPr>
        <w:t>Monitoring Objectives</w:t>
      </w:r>
    </w:p>
    <w:p w14:paraId="56623C67" w14:textId="3E46F7A9" w:rsidR="007A12F8" w:rsidRDefault="008B3F9A" w:rsidP="00675127">
      <w:r>
        <w:t xml:space="preserve">The TCW </w:t>
      </w:r>
      <w:r w:rsidR="005C7AE3">
        <w:t xml:space="preserve">developed </w:t>
      </w:r>
      <w:r w:rsidR="00652A2F">
        <w:t xml:space="preserve">monitoring </w:t>
      </w:r>
      <w:r>
        <w:t>objective</w:t>
      </w:r>
      <w:r w:rsidR="00621D6D">
        <w:t>s for all</w:t>
      </w:r>
      <w:r w:rsidR="0001053B">
        <w:t xml:space="preserve"> four</w:t>
      </w:r>
      <w:r w:rsidR="00621D6D">
        <w:t xml:space="preserve"> needs</w:t>
      </w:r>
      <w:r w:rsidR="00652A2F">
        <w:t xml:space="preserve"> (as summarized in the discussion paper)</w:t>
      </w:r>
      <w:r w:rsidR="00621D6D">
        <w:t xml:space="preserve"> but decided to focus efforts for the PSC request on PCBs</w:t>
      </w:r>
      <w:r>
        <w:t xml:space="preserve"> since it was one of highest priorit</w:t>
      </w:r>
      <w:r w:rsidR="006A63BB">
        <w:t>ies</w:t>
      </w:r>
      <w:r w:rsidR="00621D6D">
        <w:t xml:space="preserve">.  The other high priority need, emerging contaminants, is being addressed within the CBP Partnership by </w:t>
      </w:r>
      <w:r w:rsidR="00621D6D" w:rsidRPr="00EF61F9">
        <w:t xml:space="preserve">(1) </w:t>
      </w:r>
      <w:r w:rsidR="00621D6D" w:rsidRPr="00DA6EF7">
        <w:t xml:space="preserve">a CBP plastic pollution action team </w:t>
      </w:r>
      <w:r w:rsidR="00621D6D" w:rsidRPr="00D4306E">
        <w:t xml:space="preserve">(monitoring for microplastics), and (2) an upcoming </w:t>
      </w:r>
      <w:r w:rsidR="00652A2F">
        <w:t xml:space="preserve">PFAS </w:t>
      </w:r>
      <w:r w:rsidR="00621D6D" w:rsidRPr="00D4306E">
        <w:t xml:space="preserve">STAC workshop </w:t>
      </w:r>
      <w:r w:rsidR="00652A2F">
        <w:t xml:space="preserve">with a </w:t>
      </w:r>
      <w:r w:rsidR="00621D6D" w:rsidRPr="00D4306E">
        <w:t>focus on</w:t>
      </w:r>
      <w:r w:rsidR="00675127">
        <w:t xml:space="preserve"> </w:t>
      </w:r>
      <w:r w:rsidR="00621D6D" w:rsidRPr="00D4306E">
        <w:t>monitoring.</w:t>
      </w:r>
      <w:r w:rsidR="00621D6D">
        <w:t xml:space="preserve"> </w:t>
      </w:r>
    </w:p>
    <w:p w14:paraId="2A71D8CE" w14:textId="2E984F5E" w:rsidR="00FF4712" w:rsidRDefault="0001053B" w:rsidP="00553515">
      <w:pPr>
        <w:rPr>
          <w:rFonts w:cstheme="minorHAnsi"/>
          <w:i/>
          <w:iCs/>
          <w:color w:val="000000" w:themeColor="text1"/>
        </w:rPr>
      </w:pPr>
      <w:r>
        <w:t xml:space="preserve">The PCB objective </w:t>
      </w:r>
      <w:r w:rsidR="00121BAF">
        <w:t>has</w:t>
      </w:r>
      <w:r>
        <w:t xml:space="preserve"> a </w:t>
      </w:r>
      <w:r w:rsidR="00761C62">
        <w:t xml:space="preserve">multi-pronged approach </w:t>
      </w:r>
      <w:r w:rsidR="00621D6D">
        <w:t xml:space="preserve">with several inter-related components </w:t>
      </w:r>
      <w:r w:rsidR="00186CB1">
        <w:t>(</w:t>
      </w:r>
      <w:r w:rsidR="009D749D">
        <w:t xml:space="preserve">Figure </w:t>
      </w:r>
      <w:r w:rsidR="005C7AE3">
        <w:t>1</w:t>
      </w:r>
      <w:r w:rsidR="00186CB1">
        <w:t>)</w:t>
      </w:r>
      <w:r w:rsidR="00CF6A52">
        <w:t xml:space="preserve">: </w:t>
      </w:r>
      <w:r w:rsidR="00CF6A52" w:rsidRPr="00CF6A52">
        <w:rPr>
          <w:i/>
          <w:iCs/>
          <w:color w:val="000000" w:themeColor="text1"/>
        </w:rPr>
        <w:t>“</w:t>
      </w:r>
      <w:r w:rsidR="00CF6A52" w:rsidRPr="00CF6A52">
        <w:rPr>
          <w:rFonts w:cstheme="minorHAnsi"/>
          <w:i/>
          <w:iCs/>
          <w:color w:val="000000" w:themeColor="text1"/>
        </w:rPr>
        <w:t>Enhance PCB monitoring to (1)</w:t>
      </w:r>
      <w:r w:rsidR="00F93586">
        <w:rPr>
          <w:rFonts w:cstheme="minorHAnsi"/>
          <w:i/>
          <w:iCs/>
          <w:color w:val="000000" w:themeColor="text1"/>
        </w:rPr>
        <w:t xml:space="preserve"> establish</w:t>
      </w:r>
      <w:r w:rsidR="00CF6A52" w:rsidRPr="00CF6A52">
        <w:rPr>
          <w:rFonts w:cstheme="minorHAnsi"/>
          <w:i/>
          <w:iCs/>
          <w:color w:val="000000" w:themeColor="text1"/>
        </w:rPr>
        <w:t xml:space="preserve"> current </w:t>
      </w:r>
      <w:r w:rsidR="00E03C00">
        <w:rPr>
          <w:rFonts w:cstheme="minorHAnsi"/>
          <w:i/>
          <w:iCs/>
          <w:color w:val="000000" w:themeColor="text1"/>
        </w:rPr>
        <w:t xml:space="preserve">baseline </w:t>
      </w:r>
      <w:r w:rsidR="00CF6A52" w:rsidRPr="00CF6A52">
        <w:rPr>
          <w:rFonts w:cstheme="minorHAnsi"/>
          <w:i/>
          <w:iCs/>
          <w:color w:val="000000" w:themeColor="text1"/>
        </w:rPr>
        <w:t>conditions</w:t>
      </w:r>
      <w:r w:rsidR="00E03C00">
        <w:rPr>
          <w:rFonts w:cstheme="minorHAnsi"/>
          <w:i/>
          <w:iCs/>
          <w:color w:val="000000" w:themeColor="text1"/>
        </w:rPr>
        <w:t xml:space="preserve"> and identify impairments</w:t>
      </w:r>
      <w:r w:rsidR="00CF6A52" w:rsidRPr="00CF6A52">
        <w:rPr>
          <w:rFonts w:cstheme="minorHAnsi"/>
          <w:i/>
          <w:iCs/>
          <w:color w:val="000000" w:themeColor="text1"/>
        </w:rPr>
        <w:t xml:space="preserve">, (2) help </w:t>
      </w:r>
      <w:r w:rsidR="00D16DAF">
        <w:rPr>
          <w:rFonts w:cstheme="minorHAnsi"/>
          <w:i/>
          <w:iCs/>
          <w:color w:val="000000" w:themeColor="text1"/>
        </w:rPr>
        <w:t>refine previously identified</w:t>
      </w:r>
      <w:r w:rsidR="00D16DAF" w:rsidRPr="00CF6A52">
        <w:rPr>
          <w:rFonts w:cstheme="minorHAnsi"/>
          <w:i/>
          <w:iCs/>
          <w:color w:val="000000" w:themeColor="text1"/>
        </w:rPr>
        <w:t xml:space="preserve"> </w:t>
      </w:r>
      <w:r w:rsidR="00CF6A52" w:rsidRPr="00CF6A52">
        <w:rPr>
          <w:rFonts w:cstheme="minorHAnsi"/>
          <w:i/>
          <w:iCs/>
          <w:color w:val="000000" w:themeColor="text1"/>
        </w:rPr>
        <w:t>sources, (3) determine PCB response</w:t>
      </w:r>
      <w:r w:rsidR="0035547F">
        <w:rPr>
          <w:rFonts w:cstheme="minorHAnsi"/>
          <w:i/>
          <w:iCs/>
          <w:color w:val="000000" w:themeColor="text1"/>
        </w:rPr>
        <w:t xml:space="preserve"> </w:t>
      </w:r>
      <w:r w:rsidR="00441C3C">
        <w:rPr>
          <w:rFonts w:cstheme="minorHAnsi"/>
          <w:i/>
          <w:iCs/>
          <w:color w:val="000000" w:themeColor="text1"/>
        </w:rPr>
        <w:t xml:space="preserve">to mitigation efforts </w:t>
      </w:r>
      <w:r w:rsidR="00CF6A52" w:rsidRPr="00CF6A52">
        <w:rPr>
          <w:rFonts w:cstheme="minorHAnsi"/>
          <w:i/>
          <w:iCs/>
          <w:color w:val="000000" w:themeColor="text1"/>
        </w:rPr>
        <w:t>and (4)</w:t>
      </w:r>
      <w:r w:rsidR="00CF6A52">
        <w:rPr>
          <w:rFonts w:cstheme="minorHAnsi"/>
          <w:i/>
          <w:iCs/>
          <w:color w:val="000000" w:themeColor="text1"/>
        </w:rPr>
        <w:t xml:space="preserve"> </w:t>
      </w:r>
      <w:r w:rsidR="006A4C11">
        <w:rPr>
          <w:rFonts w:cstheme="minorHAnsi"/>
          <w:i/>
          <w:iCs/>
          <w:color w:val="000000" w:themeColor="text1"/>
        </w:rPr>
        <w:t>assess</w:t>
      </w:r>
      <w:r w:rsidR="00441C3C">
        <w:rPr>
          <w:rFonts w:cstheme="minorHAnsi"/>
          <w:i/>
          <w:iCs/>
          <w:color w:val="000000" w:themeColor="text1"/>
        </w:rPr>
        <w:t xml:space="preserve"> fish conditions </w:t>
      </w:r>
      <w:r w:rsidR="009D749D">
        <w:rPr>
          <w:rFonts w:cstheme="minorHAnsi"/>
          <w:i/>
          <w:iCs/>
          <w:color w:val="000000" w:themeColor="text1"/>
        </w:rPr>
        <w:t xml:space="preserve">in </w:t>
      </w:r>
      <w:r w:rsidR="00441C3C">
        <w:rPr>
          <w:rFonts w:cstheme="minorHAnsi"/>
          <w:i/>
          <w:iCs/>
          <w:color w:val="000000" w:themeColor="text1"/>
        </w:rPr>
        <w:t xml:space="preserve">relation </w:t>
      </w:r>
      <w:r w:rsidR="00675127">
        <w:rPr>
          <w:rFonts w:cstheme="minorHAnsi"/>
          <w:i/>
          <w:iCs/>
          <w:color w:val="000000" w:themeColor="text1"/>
        </w:rPr>
        <w:t>to consumption</w:t>
      </w:r>
      <w:r w:rsidR="0064480C">
        <w:rPr>
          <w:rFonts w:cstheme="minorHAnsi"/>
          <w:i/>
          <w:iCs/>
          <w:color w:val="000000" w:themeColor="text1"/>
        </w:rPr>
        <w:t xml:space="preserve"> </w:t>
      </w:r>
      <w:r w:rsidR="00675127">
        <w:rPr>
          <w:rFonts w:cstheme="minorHAnsi"/>
          <w:i/>
          <w:iCs/>
          <w:color w:val="000000" w:themeColor="text1"/>
        </w:rPr>
        <w:t>thresholds</w:t>
      </w:r>
      <w:r w:rsidR="00441C3C">
        <w:rPr>
          <w:rFonts w:cstheme="minorHAnsi"/>
          <w:i/>
          <w:iCs/>
          <w:color w:val="000000" w:themeColor="text1"/>
        </w:rPr>
        <w:t xml:space="preserve">. </w:t>
      </w:r>
      <w:r w:rsidR="001C670B">
        <w:rPr>
          <w:rFonts w:cstheme="minorHAnsi"/>
          <w:bCs/>
          <w:noProof/>
        </w:rPr>
        <w:drawing>
          <wp:inline distT="0" distB="0" distL="0" distR="0" wp14:anchorId="7897A07B" wp14:editId="1DD3DA45">
            <wp:extent cx="5819775" cy="211628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733" cy="22111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1EB077" w14:textId="4D755CB1" w:rsidR="00186CB1" w:rsidRDefault="00186CB1" w:rsidP="00553515">
      <w:pPr>
        <w:rPr>
          <w:rFonts w:cstheme="minorHAnsi"/>
          <w:bCs/>
        </w:rPr>
      </w:pPr>
      <w:r w:rsidRPr="00186CB1">
        <w:rPr>
          <w:rFonts w:cstheme="minorHAnsi"/>
          <w:bCs/>
        </w:rPr>
        <w:t xml:space="preserve">Figure </w:t>
      </w:r>
      <w:r w:rsidR="005C7AE3">
        <w:rPr>
          <w:rFonts w:cstheme="minorHAnsi"/>
          <w:bCs/>
        </w:rPr>
        <w:t>1</w:t>
      </w:r>
      <w:r w:rsidRPr="00186CB1">
        <w:rPr>
          <w:rFonts w:cstheme="minorHAnsi"/>
          <w:bCs/>
        </w:rPr>
        <w:t xml:space="preserve">: </w:t>
      </w:r>
      <w:r w:rsidR="00B701D7">
        <w:rPr>
          <w:rFonts w:cstheme="minorHAnsi"/>
          <w:bCs/>
        </w:rPr>
        <w:t>C</w:t>
      </w:r>
      <w:r w:rsidRPr="00186CB1">
        <w:rPr>
          <w:rFonts w:cstheme="minorHAnsi"/>
          <w:bCs/>
        </w:rPr>
        <w:t xml:space="preserve">omponents of the </w:t>
      </w:r>
      <w:r w:rsidR="00B701D7">
        <w:rPr>
          <w:rFonts w:cstheme="minorHAnsi"/>
          <w:bCs/>
        </w:rPr>
        <w:t xml:space="preserve">PCB </w:t>
      </w:r>
      <w:r w:rsidRPr="00186CB1">
        <w:rPr>
          <w:rFonts w:cstheme="minorHAnsi"/>
          <w:bCs/>
        </w:rPr>
        <w:t xml:space="preserve">monitoring objective. </w:t>
      </w:r>
    </w:p>
    <w:p w14:paraId="20E7035C" w14:textId="2D7DCC5C" w:rsidR="0028336B" w:rsidRDefault="006A4C11" w:rsidP="0028336B">
      <w:pPr>
        <w:pStyle w:val="Heading3"/>
        <w:rPr>
          <w:b/>
          <w:bCs/>
        </w:rPr>
      </w:pPr>
      <w:r>
        <w:rPr>
          <w:b/>
          <w:bCs/>
        </w:rPr>
        <w:lastRenderedPageBreak/>
        <w:t xml:space="preserve">Existing </w:t>
      </w:r>
      <w:r w:rsidR="0064480C">
        <w:rPr>
          <w:b/>
          <w:bCs/>
        </w:rPr>
        <w:t>M</w:t>
      </w:r>
      <w:r>
        <w:rPr>
          <w:b/>
          <w:bCs/>
        </w:rPr>
        <w:t>onitoring that</w:t>
      </w:r>
      <w:r w:rsidRPr="0028336B">
        <w:rPr>
          <w:b/>
          <w:bCs/>
        </w:rPr>
        <w:t xml:space="preserve"> </w:t>
      </w:r>
      <w:proofErr w:type="gramStart"/>
      <w:r w:rsidR="00125C8E">
        <w:rPr>
          <w:b/>
          <w:bCs/>
        </w:rPr>
        <w:t>Support</w:t>
      </w:r>
      <w:proofErr w:type="gramEnd"/>
      <w:r>
        <w:rPr>
          <w:b/>
          <w:bCs/>
        </w:rPr>
        <w:t xml:space="preserve"> </w:t>
      </w:r>
      <w:r w:rsidR="00F52796">
        <w:rPr>
          <w:b/>
          <w:bCs/>
        </w:rPr>
        <w:t xml:space="preserve">the </w:t>
      </w:r>
      <w:r w:rsidR="0064480C">
        <w:rPr>
          <w:b/>
          <w:bCs/>
        </w:rPr>
        <w:t>O</w:t>
      </w:r>
      <w:r>
        <w:rPr>
          <w:b/>
          <w:bCs/>
        </w:rPr>
        <w:t>bjective</w:t>
      </w:r>
      <w:r w:rsidR="007A12F8">
        <w:rPr>
          <w:b/>
          <w:bCs/>
        </w:rPr>
        <w:t xml:space="preserve"> and </w:t>
      </w:r>
      <w:r w:rsidR="00125C8E">
        <w:rPr>
          <w:b/>
          <w:bCs/>
        </w:rPr>
        <w:t xml:space="preserve">Remaining </w:t>
      </w:r>
      <w:r w:rsidR="0064480C">
        <w:rPr>
          <w:b/>
          <w:bCs/>
        </w:rPr>
        <w:t>G</w:t>
      </w:r>
      <w:r w:rsidR="007A12F8">
        <w:rPr>
          <w:b/>
          <w:bCs/>
        </w:rPr>
        <w:t>aps</w:t>
      </w:r>
    </w:p>
    <w:p w14:paraId="3FBBF549" w14:textId="63693EDD" w:rsidR="00EE742F" w:rsidRPr="007A12F8" w:rsidRDefault="00F52796" w:rsidP="007A12F8">
      <w:pPr>
        <w:rPr>
          <w:noProof/>
        </w:rPr>
      </w:pPr>
      <w:r>
        <w:t>A data inventory for PCBs was conducted by USGS and additional information was requested from each jurisdiction and federal partner related to the components of the monitoring objective</w:t>
      </w:r>
      <w:r w:rsidR="00151DC8">
        <w:t xml:space="preserve"> (</w:t>
      </w:r>
      <w:r w:rsidR="00652A2F">
        <w:t>F</w:t>
      </w:r>
      <w:r w:rsidR="00151DC8">
        <w:t>ig</w:t>
      </w:r>
      <w:r w:rsidR="00652A2F">
        <w:t>.</w:t>
      </w:r>
      <w:r w:rsidR="00151DC8">
        <w:t xml:space="preserve"> 1). The inventory revealed </w:t>
      </w:r>
      <w:r w:rsidR="00EE742F">
        <w:t xml:space="preserve">adequate monitoring for the components shown in </w:t>
      </w:r>
      <w:r w:rsidR="00652A2F">
        <w:t>Figure</w:t>
      </w:r>
      <w:r w:rsidR="00EE742F">
        <w:t xml:space="preserve"> 1 except </w:t>
      </w:r>
      <w:r w:rsidR="00151DC8">
        <w:t xml:space="preserve">for the third component: </w:t>
      </w:r>
      <w:r w:rsidRPr="00A475D8">
        <w:rPr>
          <w:i/>
          <w:iCs/>
          <w:noProof/>
          <w:u w:val="single"/>
        </w:rPr>
        <w:t>PCB respone to migitation actions</w:t>
      </w:r>
      <w:r w:rsidR="00151DC8">
        <w:rPr>
          <w:i/>
          <w:iCs/>
          <w:noProof/>
        </w:rPr>
        <w:t>.</w:t>
      </w:r>
      <w:r w:rsidRPr="00B701D7">
        <w:t xml:space="preserve"> </w:t>
      </w:r>
    </w:p>
    <w:p w14:paraId="60A56E5D" w14:textId="2607CBA5" w:rsidR="00237412" w:rsidRDefault="00C917EF" w:rsidP="007A12F8">
      <w:pPr>
        <w:pStyle w:val="Heading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Monitoring Design Considerations and </w:t>
      </w:r>
      <w:r w:rsidR="0025478C">
        <w:rPr>
          <w:rFonts w:eastAsia="Times New Roman"/>
          <w:b/>
          <w:bCs/>
        </w:rPr>
        <w:t>Recommendations</w:t>
      </w:r>
    </w:p>
    <w:p w14:paraId="141C3736" w14:textId="42F3656E" w:rsidR="0025478C" w:rsidRPr="0025478C" w:rsidRDefault="0025478C" w:rsidP="0025478C">
      <w:r>
        <w:t xml:space="preserve">The </w:t>
      </w:r>
      <w:r w:rsidR="0001053B">
        <w:t xml:space="preserve">TCW endorsed an overall approach for enhanced monitoring to help jurisdictions assess the PCB response to mitigation actions in selected geographic areas. The </w:t>
      </w:r>
      <w:r>
        <w:t xml:space="preserve">primary recommendations </w:t>
      </w:r>
      <w:r w:rsidR="00FD40C3">
        <w:t xml:space="preserve">for this monitoring design </w:t>
      </w:r>
      <w:r>
        <w:t xml:space="preserve">are bolded and </w:t>
      </w:r>
      <w:r w:rsidR="0010164D">
        <w:t xml:space="preserve">summarized </w:t>
      </w:r>
      <w:r>
        <w:t xml:space="preserve">below.  </w:t>
      </w:r>
    </w:p>
    <w:p w14:paraId="303424B2" w14:textId="1737E75D" w:rsidR="00330B1C" w:rsidRDefault="00FD40C3" w:rsidP="00FF0E80">
      <w:r>
        <w:rPr>
          <w:b/>
          <w:bCs/>
        </w:rPr>
        <w:t xml:space="preserve">Focus monitoring in </w:t>
      </w:r>
      <w:r w:rsidR="0025478C">
        <w:rPr>
          <w:b/>
          <w:bCs/>
        </w:rPr>
        <w:t xml:space="preserve">geographic </w:t>
      </w:r>
      <w:r w:rsidR="00330B1C" w:rsidRPr="0025478C">
        <w:rPr>
          <w:b/>
          <w:bCs/>
        </w:rPr>
        <w:t xml:space="preserve">areas </w:t>
      </w:r>
      <w:r w:rsidR="001050E2" w:rsidRPr="0025478C">
        <w:rPr>
          <w:b/>
          <w:bCs/>
        </w:rPr>
        <w:t xml:space="preserve">to </w:t>
      </w:r>
      <w:r w:rsidR="00466ADC" w:rsidRPr="0025478C">
        <w:rPr>
          <w:b/>
          <w:bCs/>
        </w:rPr>
        <w:t xml:space="preserve">help the jurisdictions assess PCB </w:t>
      </w:r>
      <w:r w:rsidR="0025478C">
        <w:rPr>
          <w:b/>
          <w:bCs/>
        </w:rPr>
        <w:t xml:space="preserve">response </w:t>
      </w:r>
      <w:r w:rsidR="00466ADC" w:rsidRPr="0025478C">
        <w:rPr>
          <w:b/>
          <w:bCs/>
        </w:rPr>
        <w:t>where mitigation actions are being implemented</w:t>
      </w:r>
      <w:r w:rsidR="00187E88" w:rsidRPr="0025478C">
        <w:rPr>
          <w:b/>
          <w:bCs/>
        </w:rPr>
        <w:t xml:space="preserve"> and </w:t>
      </w:r>
      <w:r w:rsidR="00121BAF">
        <w:rPr>
          <w:b/>
          <w:bCs/>
        </w:rPr>
        <w:t>or planned</w:t>
      </w:r>
      <w:r w:rsidR="00466ADC">
        <w:t xml:space="preserve">. </w:t>
      </w:r>
      <w:r w:rsidR="00D73FC4">
        <w:t>Due to the variability discussed above, j</w:t>
      </w:r>
      <w:r w:rsidR="00330B1C">
        <w:t xml:space="preserve">urisdictions suggested providing some flexibility in the </w:t>
      </w:r>
      <w:proofErr w:type="gramStart"/>
      <w:r w:rsidR="00330B1C">
        <w:t>geographically-focused</w:t>
      </w:r>
      <w:proofErr w:type="gramEnd"/>
      <w:r w:rsidR="00330B1C">
        <w:t xml:space="preserve"> areas to allow for the consideration of variable ongoing or historical monitoring and specific activities in their respective locations.  In general, t</w:t>
      </w:r>
      <w:r w:rsidR="00466ADC">
        <w:t>he conceptual design would build from existing monitoring to add sites to detect PCB response</w:t>
      </w:r>
      <w:r w:rsidR="007242D5">
        <w:t xml:space="preserve"> (</w:t>
      </w:r>
      <w:r w:rsidR="006A63BB">
        <w:t>F</w:t>
      </w:r>
      <w:r w:rsidR="007242D5">
        <w:t xml:space="preserve">igure </w:t>
      </w:r>
      <w:r w:rsidR="00A76EA4">
        <w:t>2</w:t>
      </w:r>
      <w:r w:rsidR="007242D5">
        <w:t>)</w:t>
      </w:r>
      <w:r w:rsidR="00466ADC">
        <w:t xml:space="preserve">. </w:t>
      </w:r>
    </w:p>
    <w:p w14:paraId="11CD0F30" w14:textId="3302FA65" w:rsidR="007028D9" w:rsidRDefault="001C670B" w:rsidP="00FF0E80">
      <w:r>
        <w:rPr>
          <w:noProof/>
        </w:rPr>
        <w:drawing>
          <wp:inline distT="0" distB="0" distL="0" distR="0" wp14:anchorId="0AAA176D" wp14:editId="705618C0">
            <wp:extent cx="5248275" cy="15304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80" b="7427"/>
                    <a:stretch/>
                  </pic:blipFill>
                  <pic:spPr bwMode="auto">
                    <a:xfrm>
                      <a:off x="0" y="0"/>
                      <a:ext cx="5446368" cy="158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03E644" w14:textId="49DA2318" w:rsidR="001C670B" w:rsidRDefault="001C670B" w:rsidP="00FF0E80">
      <w:r>
        <w:t xml:space="preserve">Figure </w:t>
      </w:r>
      <w:r w:rsidR="00A76EA4">
        <w:t>2</w:t>
      </w:r>
      <w:r>
        <w:t xml:space="preserve">. Components of Sampling Site Selection </w:t>
      </w:r>
    </w:p>
    <w:p w14:paraId="43EEAF8B" w14:textId="3370F851" w:rsidR="007A12F8" w:rsidRDefault="007A12F8" w:rsidP="007A12F8">
      <w:r w:rsidRPr="0025478C">
        <w:rPr>
          <w:b/>
          <w:bCs/>
        </w:rPr>
        <w:t>Geographic focus areas sh</w:t>
      </w:r>
      <w:r w:rsidR="0025478C" w:rsidRPr="0025478C">
        <w:rPr>
          <w:b/>
          <w:bCs/>
        </w:rPr>
        <w:t>ould be in places</w:t>
      </w:r>
      <w:r w:rsidRPr="0025478C">
        <w:rPr>
          <w:b/>
          <w:bCs/>
        </w:rPr>
        <w:t xml:space="preserve"> with PCB</w:t>
      </w:r>
      <w:r w:rsidR="0010164D">
        <w:rPr>
          <w:b/>
          <w:bCs/>
        </w:rPr>
        <w:t xml:space="preserve"> reductions can be detected</w:t>
      </w:r>
      <w:r w:rsidR="00675127">
        <w:rPr>
          <w:b/>
          <w:bCs/>
        </w:rPr>
        <w:t xml:space="preserve">. </w:t>
      </w:r>
      <w:r w:rsidR="00675127" w:rsidRPr="005F630B">
        <w:t xml:space="preserve">The </w:t>
      </w:r>
      <w:r w:rsidR="005F630B" w:rsidRPr="005F630B">
        <w:t xml:space="preserve">monitoring should be </w:t>
      </w:r>
      <w:r w:rsidRPr="005F630B">
        <w:t xml:space="preserve">in areas with enough action/mitigation </w:t>
      </w:r>
      <w:r w:rsidR="00910DDC" w:rsidRPr="005F630B">
        <w:t xml:space="preserve">ongoing or planned </w:t>
      </w:r>
      <w:r w:rsidRPr="005F630B">
        <w:t>for collective, predicted reductions of greater than 25% (or a more appropriate reduction later specified) in concentration and/or loading.</w:t>
      </w:r>
      <w:r>
        <w:t xml:space="preserve"> Based on input from the jurisdictions, some potential </w:t>
      </w:r>
      <w:r w:rsidR="00910DDC">
        <w:t>geographic-</w:t>
      </w:r>
      <w:r>
        <w:t>focus</w:t>
      </w:r>
      <w:r w:rsidR="0025478C">
        <w:t xml:space="preserve"> </w:t>
      </w:r>
      <w:r>
        <w:t xml:space="preserve">areas include: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116"/>
        <w:gridCol w:w="6869"/>
      </w:tblGrid>
      <w:tr w:rsidR="007A12F8" w:rsidRPr="00A475D8" w14:paraId="32DADAE2" w14:textId="77777777" w:rsidTr="0025478C">
        <w:tc>
          <w:tcPr>
            <w:tcW w:w="3116" w:type="dxa"/>
          </w:tcPr>
          <w:p w14:paraId="36D1430F" w14:textId="77777777" w:rsidR="007A12F8" w:rsidRPr="00A475D8" w:rsidRDefault="007A12F8" w:rsidP="00262E1E">
            <w:pPr>
              <w:rPr>
                <w:b/>
                <w:bCs/>
              </w:rPr>
            </w:pPr>
            <w:r w:rsidRPr="00A475D8">
              <w:rPr>
                <w:b/>
                <w:bCs/>
              </w:rPr>
              <w:t xml:space="preserve">Jurisdiction </w:t>
            </w:r>
          </w:p>
        </w:tc>
        <w:tc>
          <w:tcPr>
            <w:tcW w:w="6869" w:type="dxa"/>
          </w:tcPr>
          <w:p w14:paraId="15066EF1" w14:textId="77777777" w:rsidR="007A12F8" w:rsidRPr="00A475D8" w:rsidRDefault="007A12F8" w:rsidP="00262E1E">
            <w:pPr>
              <w:rPr>
                <w:b/>
                <w:bCs/>
              </w:rPr>
            </w:pPr>
            <w:r w:rsidRPr="00A475D8">
              <w:rPr>
                <w:b/>
                <w:bCs/>
              </w:rPr>
              <w:t>Geographic-focus Areas</w:t>
            </w:r>
          </w:p>
        </w:tc>
      </w:tr>
      <w:tr w:rsidR="007A12F8" w14:paraId="08B49C79" w14:textId="77777777" w:rsidTr="0025478C">
        <w:tc>
          <w:tcPr>
            <w:tcW w:w="3116" w:type="dxa"/>
          </w:tcPr>
          <w:p w14:paraId="110BE6F2" w14:textId="77777777" w:rsidR="007A12F8" w:rsidRDefault="007A12F8" w:rsidP="00262E1E">
            <w:r>
              <w:t>DC</w:t>
            </w:r>
          </w:p>
        </w:tc>
        <w:tc>
          <w:tcPr>
            <w:tcW w:w="6869" w:type="dxa"/>
          </w:tcPr>
          <w:p w14:paraId="10A79966" w14:textId="2E58F1A9" w:rsidR="007A12F8" w:rsidRDefault="007A12F8" w:rsidP="00262E1E">
            <w:r>
              <w:t xml:space="preserve">Anacostia </w:t>
            </w:r>
            <w:r w:rsidR="00910DDC">
              <w:t>River</w:t>
            </w:r>
          </w:p>
        </w:tc>
      </w:tr>
      <w:tr w:rsidR="007A12F8" w14:paraId="480410DC" w14:textId="77777777" w:rsidTr="0025478C">
        <w:tc>
          <w:tcPr>
            <w:tcW w:w="3116" w:type="dxa"/>
          </w:tcPr>
          <w:p w14:paraId="13E38D33" w14:textId="77777777" w:rsidR="007A12F8" w:rsidRDefault="007A12F8" w:rsidP="00262E1E">
            <w:r>
              <w:t>MD</w:t>
            </w:r>
          </w:p>
        </w:tc>
        <w:tc>
          <w:tcPr>
            <w:tcW w:w="6869" w:type="dxa"/>
          </w:tcPr>
          <w:p w14:paraId="1BAC9CB2" w14:textId="3607ACD5" w:rsidR="007A12F8" w:rsidRDefault="007A12F8" w:rsidP="00262E1E">
            <w:r>
              <w:t>Patapsco River, tributaries of Anacostia</w:t>
            </w:r>
          </w:p>
        </w:tc>
      </w:tr>
      <w:tr w:rsidR="007A12F8" w14:paraId="69315513" w14:textId="77777777" w:rsidTr="0025478C">
        <w:tc>
          <w:tcPr>
            <w:tcW w:w="3116" w:type="dxa"/>
          </w:tcPr>
          <w:p w14:paraId="5F07AA9A" w14:textId="77777777" w:rsidR="007A12F8" w:rsidRDefault="007A12F8" w:rsidP="00262E1E">
            <w:r>
              <w:t>VA</w:t>
            </w:r>
          </w:p>
        </w:tc>
        <w:tc>
          <w:tcPr>
            <w:tcW w:w="6869" w:type="dxa"/>
          </w:tcPr>
          <w:p w14:paraId="4428B840" w14:textId="394B8633" w:rsidR="007A12F8" w:rsidRDefault="007A12F8" w:rsidP="00262E1E">
            <w:r>
              <w:t xml:space="preserve">Potomac </w:t>
            </w:r>
            <w:r w:rsidR="00910DDC">
              <w:t xml:space="preserve">River </w:t>
            </w:r>
            <w:r>
              <w:t xml:space="preserve">tributaries </w:t>
            </w:r>
            <w:r w:rsidR="00910DDC">
              <w:t>(</w:t>
            </w:r>
            <w:r>
              <w:t>at head of tide</w:t>
            </w:r>
            <w:r w:rsidR="00910DDC">
              <w:t>)</w:t>
            </w:r>
          </w:p>
        </w:tc>
      </w:tr>
      <w:tr w:rsidR="007A12F8" w14:paraId="46E4C17E" w14:textId="77777777" w:rsidTr="0025478C">
        <w:tc>
          <w:tcPr>
            <w:tcW w:w="3116" w:type="dxa"/>
          </w:tcPr>
          <w:p w14:paraId="2499B456" w14:textId="77777777" w:rsidR="007A12F8" w:rsidRDefault="007A12F8" w:rsidP="00262E1E">
            <w:r>
              <w:t>DE</w:t>
            </w:r>
          </w:p>
        </w:tc>
        <w:tc>
          <w:tcPr>
            <w:tcW w:w="6869" w:type="dxa"/>
          </w:tcPr>
          <w:p w14:paraId="37A81970" w14:textId="77777777" w:rsidR="007A12F8" w:rsidRDefault="007A12F8" w:rsidP="00262E1E">
            <w:r>
              <w:t>Nanticoke River</w:t>
            </w:r>
          </w:p>
        </w:tc>
      </w:tr>
    </w:tbl>
    <w:p w14:paraId="081C3057" w14:textId="3C771FE5" w:rsidR="007A12F8" w:rsidRDefault="007A12F8" w:rsidP="00FF0E80"/>
    <w:p w14:paraId="5EC713B9" w14:textId="616F102C" w:rsidR="00DF6337" w:rsidRDefault="005F630B">
      <w:pPr>
        <w:rPr>
          <w:b/>
          <w:bCs/>
        </w:rPr>
      </w:pPr>
      <w:r>
        <w:rPr>
          <w:b/>
          <w:bCs/>
        </w:rPr>
        <w:t>I</w:t>
      </w:r>
      <w:r w:rsidRPr="00675127">
        <w:rPr>
          <w:b/>
          <w:bCs/>
        </w:rPr>
        <w:t>nitia</w:t>
      </w:r>
      <w:r>
        <w:rPr>
          <w:b/>
          <w:bCs/>
        </w:rPr>
        <w:t xml:space="preserve">te </w:t>
      </w:r>
      <w:r w:rsidRPr="00675127">
        <w:rPr>
          <w:b/>
          <w:bCs/>
        </w:rPr>
        <w:t>monitoring</w:t>
      </w:r>
      <w:r w:rsidR="00FD40C3" w:rsidRPr="00675127">
        <w:rPr>
          <w:b/>
          <w:bCs/>
        </w:rPr>
        <w:t xml:space="preserve"> in a single geographic-focus area as a pilot test.  </w:t>
      </w:r>
      <w:r>
        <w:t>T</w:t>
      </w:r>
      <w:r w:rsidR="00AB7DB2">
        <w:t xml:space="preserve">here are many unknowns related to </w:t>
      </w:r>
      <w:r w:rsidR="00FD40C3">
        <w:t xml:space="preserve">proposed </w:t>
      </w:r>
      <w:r w:rsidR="00AB7DB2">
        <w:t>monitoring</w:t>
      </w:r>
      <w:r w:rsidR="00753F67">
        <w:t>,</w:t>
      </w:r>
      <w:r w:rsidR="00AB7DB2">
        <w:t xml:space="preserve"> including reduction required to detect a response, timeframe to detect a response, proximity to collection actions to detect a response</w:t>
      </w:r>
      <w:r w:rsidR="00FD40C3">
        <w:t>, and the type of media</w:t>
      </w:r>
      <w:r w:rsidR="00AB7DB2">
        <w:t xml:space="preserve"> </w:t>
      </w:r>
      <w:r w:rsidR="00FD40C3">
        <w:t xml:space="preserve">(such as </w:t>
      </w:r>
      <w:r w:rsidR="00AB7DB2">
        <w:t>surface water, fis</w:t>
      </w:r>
      <w:r w:rsidR="00FD40C3">
        <w:t>h)</w:t>
      </w:r>
      <w:r w:rsidR="0010164D">
        <w:t>. C</w:t>
      </w:r>
      <w:r w:rsidR="00FD40C3">
        <w:t xml:space="preserve">onducting </w:t>
      </w:r>
      <w:r w:rsidR="0010164D">
        <w:t>monitoring</w:t>
      </w:r>
      <w:r w:rsidR="00FD40C3">
        <w:t xml:space="preserve"> in a pilot area should be done so lessons learned can be developed before monitoring in other geographic areas. </w:t>
      </w:r>
    </w:p>
    <w:p w14:paraId="3FF9561B" w14:textId="479DB86E" w:rsidR="00FD40C3" w:rsidRPr="005F630B" w:rsidRDefault="00FD40C3" w:rsidP="00FD40C3">
      <w:pPr>
        <w:rPr>
          <w:b/>
          <w:bCs/>
        </w:rPr>
      </w:pPr>
      <w:r w:rsidRPr="00675127">
        <w:rPr>
          <w:b/>
          <w:bCs/>
        </w:rPr>
        <w:t>Potential Costs</w:t>
      </w:r>
      <w:r w:rsidR="005F630B">
        <w:rPr>
          <w:b/>
          <w:bCs/>
        </w:rPr>
        <w:t xml:space="preserve"> </w:t>
      </w:r>
      <w:r>
        <w:t xml:space="preserve">in one geographic-focus area could range depending on media and number of locations (ranging </w:t>
      </w:r>
      <w:r w:rsidR="0010164D">
        <w:t>from 1</w:t>
      </w:r>
      <w:r>
        <w:t xml:space="preserve">-3) sampled:  </w:t>
      </w:r>
    </w:p>
    <w:p w14:paraId="5B692CB6" w14:textId="03C7CC76" w:rsidR="00FD40C3" w:rsidRDefault="00FD40C3" w:rsidP="00FD40C3">
      <w:pPr>
        <w:pStyle w:val="ListParagraph"/>
        <w:numPr>
          <w:ilvl w:val="0"/>
          <w:numId w:val="20"/>
        </w:numPr>
      </w:pPr>
      <w:r>
        <w:t>F</w:t>
      </w:r>
      <w:r w:rsidRPr="0025478C">
        <w:t xml:space="preserve">ish or shellfish </w:t>
      </w:r>
      <w:r>
        <w:t xml:space="preserve">focused </w:t>
      </w:r>
      <w:r w:rsidRPr="0025478C">
        <w:t>sampling</w:t>
      </w:r>
      <w:r w:rsidR="00F33779">
        <w:t xml:space="preserve"> per event (conducted at time intervals greater than 1 year)</w:t>
      </w:r>
      <w:r>
        <w:t>:  $22,000-$66,000.</w:t>
      </w:r>
    </w:p>
    <w:p w14:paraId="590C17C9" w14:textId="63723BE8" w:rsidR="00FD40C3" w:rsidRDefault="00FD40C3" w:rsidP="005F630B">
      <w:pPr>
        <w:pStyle w:val="ListParagraph"/>
        <w:numPr>
          <w:ilvl w:val="0"/>
          <w:numId w:val="20"/>
        </w:numPr>
      </w:pPr>
      <w:r>
        <w:t>Time-integrated, water column (surface</w:t>
      </w:r>
      <w:r w:rsidRPr="0025478C">
        <w:t xml:space="preserve"> water</w:t>
      </w:r>
      <w:r>
        <w:t>)</w:t>
      </w:r>
      <w:r w:rsidRPr="0025478C">
        <w:t xml:space="preserve"> sampling</w:t>
      </w:r>
      <w:r>
        <w:t xml:space="preserve"> (quarterly, non-storm) including installation of streamflow gage</w:t>
      </w:r>
      <w:r w:rsidR="00F33779">
        <w:t xml:space="preserve"> per year</w:t>
      </w:r>
      <w:r>
        <w:t>: $70,000-$210,000</w:t>
      </w:r>
    </w:p>
    <w:sectPr w:rsidR="00FD40C3" w:rsidSect="00FF471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863B8" w14:textId="77777777" w:rsidR="00F70068" w:rsidRDefault="00F70068" w:rsidP="00D35B56">
      <w:pPr>
        <w:spacing w:after="0" w:line="240" w:lineRule="auto"/>
      </w:pPr>
      <w:r>
        <w:separator/>
      </w:r>
    </w:p>
  </w:endnote>
  <w:endnote w:type="continuationSeparator" w:id="0">
    <w:p w14:paraId="1CF11903" w14:textId="77777777" w:rsidR="00F70068" w:rsidRDefault="00F70068" w:rsidP="00D35B56">
      <w:pPr>
        <w:spacing w:after="0" w:line="240" w:lineRule="auto"/>
      </w:pPr>
      <w:r>
        <w:continuationSeparator/>
      </w:r>
    </w:p>
  </w:endnote>
  <w:endnote w:type="continuationNotice" w:id="1">
    <w:p w14:paraId="41B3C255" w14:textId="77777777" w:rsidR="00F70068" w:rsidRDefault="00F700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5439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9AA491" w14:textId="2434189D" w:rsidR="00C86728" w:rsidRDefault="00C867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44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B2D9593" w14:textId="77777777" w:rsidR="00C86728" w:rsidRDefault="00C86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14E21" w14:textId="77777777" w:rsidR="00F70068" w:rsidRDefault="00F70068" w:rsidP="00D35B56">
      <w:pPr>
        <w:spacing w:after="0" w:line="240" w:lineRule="auto"/>
      </w:pPr>
      <w:r>
        <w:separator/>
      </w:r>
    </w:p>
  </w:footnote>
  <w:footnote w:type="continuationSeparator" w:id="0">
    <w:p w14:paraId="3C91A83A" w14:textId="77777777" w:rsidR="00F70068" w:rsidRDefault="00F70068" w:rsidP="00D35B56">
      <w:pPr>
        <w:spacing w:after="0" w:line="240" w:lineRule="auto"/>
      </w:pPr>
      <w:r>
        <w:continuationSeparator/>
      </w:r>
    </w:p>
  </w:footnote>
  <w:footnote w:type="continuationNotice" w:id="1">
    <w:p w14:paraId="115183EF" w14:textId="77777777" w:rsidR="00F70068" w:rsidRDefault="00F700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2B52A" w14:textId="77777777" w:rsidR="00830316" w:rsidRDefault="008303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75CA4"/>
    <w:multiLevelType w:val="hybridMultilevel"/>
    <w:tmpl w:val="94620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57E93"/>
    <w:multiLevelType w:val="hybridMultilevel"/>
    <w:tmpl w:val="38161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22DBD"/>
    <w:multiLevelType w:val="multilevel"/>
    <w:tmpl w:val="C562C0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B3D1C"/>
    <w:multiLevelType w:val="hybridMultilevel"/>
    <w:tmpl w:val="36F0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27E81"/>
    <w:multiLevelType w:val="hybridMultilevel"/>
    <w:tmpl w:val="E4B6B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668C5"/>
    <w:multiLevelType w:val="hybridMultilevel"/>
    <w:tmpl w:val="295C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B719D"/>
    <w:multiLevelType w:val="hybridMultilevel"/>
    <w:tmpl w:val="A816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C0B72"/>
    <w:multiLevelType w:val="hybridMultilevel"/>
    <w:tmpl w:val="9C76F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64047"/>
    <w:multiLevelType w:val="hybridMultilevel"/>
    <w:tmpl w:val="69FAF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B354D"/>
    <w:multiLevelType w:val="hybridMultilevel"/>
    <w:tmpl w:val="E49001A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4FFB1412"/>
    <w:multiLevelType w:val="hybridMultilevel"/>
    <w:tmpl w:val="73867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67703"/>
    <w:multiLevelType w:val="hybridMultilevel"/>
    <w:tmpl w:val="E9C27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34739"/>
    <w:multiLevelType w:val="hybridMultilevel"/>
    <w:tmpl w:val="453680D6"/>
    <w:lvl w:ilvl="0" w:tplc="2188BE9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8CA20C0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en-US"/>
      </w:rPr>
    </w:lvl>
    <w:lvl w:ilvl="2" w:tplc="C86438D6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en-US"/>
      </w:rPr>
    </w:lvl>
    <w:lvl w:ilvl="3" w:tplc="CD165E42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en-US"/>
      </w:rPr>
    </w:lvl>
    <w:lvl w:ilvl="4" w:tplc="84985BCC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en-US"/>
      </w:rPr>
    </w:lvl>
    <w:lvl w:ilvl="5" w:tplc="0FE07D72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6" w:tplc="EB28E266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en-US"/>
      </w:rPr>
    </w:lvl>
    <w:lvl w:ilvl="7" w:tplc="F77C0352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en-US"/>
      </w:rPr>
    </w:lvl>
    <w:lvl w:ilvl="8" w:tplc="C734C8FA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54087976"/>
    <w:multiLevelType w:val="hybridMultilevel"/>
    <w:tmpl w:val="AB185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2E2B87"/>
    <w:multiLevelType w:val="hybridMultilevel"/>
    <w:tmpl w:val="4608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94E34"/>
    <w:multiLevelType w:val="hybridMultilevel"/>
    <w:tmpl w:val="B26A0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77548"/>
    <w:multiLevelType w:val="multilevel"/>
    <w:tmpl w:val="18B8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5A31A9"/>
    <w:multiLevelType w:val="hybridMultilevel"/>
    <w:tmpl w:val="AB4E8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36BDC"/>
    <w:multiLevelType w:val="hybridMultilevel"/>
    <w:tmpl w:val="5FC6C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63CA8"/>
    <w:multiLevelType w:val="hybridMultilevel"/>
    <w:tmpl w:val="8A3ED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5"/>
  </w:num>
  <w:num w:numId="5">
    <w:abstractNumId w:val="3"/>
  </w:num>
  <w:num w:numId="6">
    <w:abstractNumId w:val="11"/>
  </w:num>
  <w:num w:numId="7">
    <w:abstractNumId w:val="18"/>
  </w:num>
  <w:num w:numId="8">
    <w:abstractNumId w:val="14"/>
  </w:num>
  <w:num w:numId="9">
    <w:abstractNumId w:val="5"/>
  </w:num>
  <w:num w:numId="10">
    <w:abstractNumId w:val="7"/>
  </w:num>
  <w:num w:numId="11">
    <w:abstractNumId w:val="17"/>
  </w:num>
  <w:num w:numId="12">
    <w:abstractNumId w:val="0"/>
  </w:num>
  <w:num w:numId="13">
    <w:abstractNumId w:val="10"/>
  </w:num>
  <w:num w:numId="14">
    <w:abstractNumId w:val="12"/>
  </w:num>
  <w:num w:numId="15">
    <w:abstractNumId w:val="2"/>
  </w:num>
  <w:num w:numId="16">
    <w:abstractNumId w:val="1"/>
  </w:num>
  <w:num w:numId="17">
    <w:abstractNumId w:val="16"/>
  </w:num>
  <w:num w:numId="18">
    <w:abstractNumId w:val="9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0A3"/>
    <w:rsid w:val="00004EF3"/>
    <w:rsid w:val="0001053B"/>
    <w:rsid w:val="000563E0"/>
    <w:rsid w:val="00091070"/>
    <w:rsid w:val="0009262A"/>
    <w:rsid w:val="00094ED3"/>
    <w:rsid w:val="000A6528"/>
    <w:rsid w:val="0010164D"/>
    <w:rsid w:val="001050E2"/>
    <w:rsid w:val="00121BAF"/>
    <w:rsid w:val="00125C8E"/>
    <w:rsid w:val="0013266F"/>
    <w:rsid w:val="00135633"/>
    <w:rsid w:val="00146BF8"/>
    <w:rsid w:val="00151DC8"/>
    <w:rsid w:val="00173ECF"/>
    <w:rsid w:val="001770DA"/>
    <w:rsid w:val="00181948"/>
    <w:rsid w:val="00186CB1"/>
    <w:rsid w:val="00187E88"/>
    <w:rsid w:val="001B120E"/>
    <w:rsid w:val="001C670B"/>
    <w:rsid w:val="00216CBA"/>
    <w:rsid w:val="00227914"/>
    <w:rsid w:val="00237412"/>
    <w:rsid w:val="0025478C"/>
    <w:rsid w:val="0028336B"/>
    <w:rsid w:val="002A14E6"/>
    <w:rsid w:val="002E78EA"/>
    <w:rsid w:val="002F76F3"/>
    <w:rsid w:val="00325519"/>
    <w:rsid w:val="00327D45"/>
    <w:rsid w:val="00330B1C"/>
    <w:rsid w:val="00341CB0"/>
    <w:rsid w:val="003431A6"/>
    <w:rsid w:val="0035547F"/>
    <w:rsid w:val="0035755D"/>
    <w:rsid w:val="00361A6C"/>
    <w:rsid w:val="00363EEF"/>
    <w:rsid w:val="0036539C"/>
    <w:rsid w:val="0037767F"/>
    <w:rsid w:val="00391E03"/>
    <w:rsid w:val="004143F2"/>
    <w:rsid w:val="00437CF5"/>
    <w:rsid w:val="004404EB"/>
    <w:rsid w:val="00441C3C"/>
    <w:rsid w:val="00465488"/>
    <w:rsid w:val="00466ADC"/>
    <w:rsid w:val="00494A23"/>
    <w:rsid w:val="004B0D26"/>
    <w:rsid w:val="004F661A"/>
    <w:rsid w:val="00510428"/>
    <w:rsid w:val="00525DD4"/>
    <w:rsid w:val="0053406D"/>
    <w:rsid w:val="005434DA"/>
    <w:rsid w:val="00553515"/>
    <w:rsid w:val="0056044A"/>
    <w:rsid w:val="005C7AE3"/>
    <w:rsid w:val="005F344B"/>
    <w:rsid w:val="005F630B"/>
    <w:rsid w:val="006006F1"/>
    <w:rsid w:val="00620250"/>
    <w:rsid w:val="00621D6D"/>
    <w:rsid w:val="006258E3"/>
    <w:rsid w:val="0064480C"/>
    <w:rsid w:val="00647AFE"/>
    <w:rsid w:val="00652A2F"/>
    <w:rsid w:val="006569D5"/>
    <w:rsid w:val="00675127"/>
    <w:rsid w:val="006A4C11"/>
    <w:rsid w:val="006A5913"/>
    <w:rsid w:val="006A63BB"/>
    <w:rsid w:val="006D1A21"/>
    <w:rsid w:val="006E464B"/>
    <w:rsid w:val="007028D9"/>
    <w:rsid w:val="007242D5"/>
    <w:rsid w:val="00735B78"/>
    <w:rsid w:val="00745EE6"/>
    <w:rsid w:val="00753F67"/>
    <w:rsid w:val="00761C62"/>
    <w:rsid w:val="00764F87"/>
    <w:rsid w:val="007908D5"/>
    <w:rsid w:val="007A12F8"/>
    <w:rsid w:val="007A7B8E"/>
    <w:rsid w:val="007C7A7D"/>
    <w:rsid w:val="00830316"/>
    <w:rsid w:val="00873E29"/>
    <w:rsid w:val="00875C62"/>
    <w:rsid w:val="00876196"/>
    <w:rsid w:val="00876590"/>
    <w:rsid w:val="00893B67"/>
    <w:rsid w:val="008A673A"/>
    <w:rsid w:val="008B3F9A"/>
    <w:rsid w:val="008C3189"/>
    <w:rsid w:val="008F5DF2"/>
    <w:rsid w:val="008F72A4"/>
    <w:rsid w:val="00910DDC"/>
    <w:rsid w:val="00956E4B"/>
    <w:rsid w:val="00970F92"/>
    <w:rsid w:val="00995C3E"/>
    <w:rsid w:val="009C5C2A"/>
    <w:rsid w:val="009D749D"/>
    <w:rsid w:val="00A13280"/>
    <w:rsid w:val="00A475D8"/>
    <w:rsid w:val="00A76EA4"/>
    <w:rsid w:val="00AA25BB"/>
    <w:rsid w:val="00AA4D22"/>
    <w:rsid w:val="00AA7313"/>
    <w:rsid w:val="00AB4850"/>
    <w:rsid w:val="00AB7DB2"/>
    <w:rsid w:val="00AC78DA"/>
    <w:rsid w:val="00AD043A"/>
    <w:rsid w:val="00AD064F"/>
    <w:rsid w:val="00B152B7"/>
    <w:rsid w:val="00B3437F"/>
    <w:rsid w:val="00B36B05"/>
    <w:rsid w:val="00B501CB"/>
    <w:rsid w:val="00B52C97"/>
    <w:rsid w:val="00B66FA0"/>
    <w:rsid w:val="00B701D7"/>
    <w:rsid w:val="00B759D8"/>
    <w:rsid w:val="00B82691"/>
    <w:rsid w:val="00B97C16"/>
    <w:rsid w:val="00BA6A33"/>
    <w:rsid w:val="00C03C33"/>
    <w:rsid w:val="00C17C62"/>
    <w:rsid w:val="00C41568"/>
    <w:rsid w:val="00C431D0"/>
    <w:rsid w:val="00C47145"/>
    <w:rsid w:val="00C605FD"/>
    <w:rsid w:val="00C70F39"/>
    <w:rsid w:val="00C86728"/>
    <w:rsid w:val="00C87303"/>
    <w:rsid w:val="00C917EF"/>
    <w:rsid w:val="00C929FB"/>
    <w:rsid w:val="00CC5D72"/>
    <w:rsid w:val="00CE2028"/>
    <w:rsid w:val="00CF6A52"/>
    <w:rsid w:val="00D16DAF"/>
    <w:rsid w:val="00D320EE"/>
    <w:rsid w:val="00D35B56"/>
    <w:rsid w:val="00D36DD7"/>
    <w:rsid w:val="00D4306E"/>
    <w:rsid w:val="00D73FC4"/>
    <w:rsid w:val="00D741CC"/>
    <w:rsid w:val="00D91E7A"/>
    <w:rsid w:val="00D950A3"/>
    <w:rsid w:val="00DA6EF7"/>
    <w:rsid w:val="00DB5FD5"/>
    <w:rsid w:val="00DC2558"/>
    <w:rsid w:val="00DC59DE"/>
    <w:rsid w:val="00DD3F2B"/>
    <w:rsid w:val="00DF3B1B"/>
    <w:rsid w:val="00DF6337"/>
    <w:rsid w:val="00E02E7F"/>
    <w:rsid w:val="00E03C00"/>
    <w:rsid w:val="00E15982"/>
    <w:rsid w:val="00E178E3"/>
    <w:rsid w:val="00E44B6F"/>
    <w:rsid w:val="00E6132A"/>
    <w:rsid w:val="00E87EBE"/>
    <w:rsid w:val="00EB10E3"/>
    <w:rsid w:val="00EB7746"/>
    <w:rsid w:val="00ED662A"/>
    <w:rsid w:val="00EE3178"/>
    <w:rsid w:val="00EE742F"/>
    <w:rsid w:val="00EF61F9"/>
    <w:rsid w:val="00EF6F4E"/>
    <w:rsid w:val="00F21E2C"/>
    <w:rsid w:val="00F2427E"/>
    <w:rsid w:val="00F33779"/>
    <w:rsid w:val="00F42A0C"/>
    <w:rsid w:val="00F52796"/>
    <w:rsid w:val="00F70068"/>
    <w:rsid w:val="00F913ED"/>
    <w:rsid w:val="00F93586"/>
    <w:rsid w:val="00FC7EA5"/>
    <w:rsid w:val="00FD40C3"/>
    <w:rsid w:val="00FF0E80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7DFB"/>
  <w15:chartTrackingRefBased/>
  <w15:docId w15:val="{F50122A4-D800-4F25-BD04-579D4AA8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0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C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2C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950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91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52C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2C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5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56"/>
  </w:style>
  <w:style w:type="paragraph" w:styleId="Footer">
    <w:name w:val="footer"/>
    <w:basedOn w:val="Normal"/>
    <w:link w:val="FooterChar"/>
    <w:uiPriority w:val="99"/>
    <w:unhideWhenUsed/>
    <w:rsid w:val="00D35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56"/>
  </w:style>
  <w:style w:type="character" w:styleId="CommentReference">
    <w:name w:val="annotation reference"/>
    <w:basedOn w:val="DefaultParagraphFont"/>
    <w:uiPriority w:val="99"/>
    <w:semiHidden/>
    <w:unhideWhenUsed/>
    <w:rsid w:val="00AC7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8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8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8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8D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E464B"/>
    <w:pPr>
      <w:spacing w:after="0" w:line="240" w:lineRule="auto"/>
    </w:pPr>
  </w:style>
  <w:style w:type="table" w:styleId="TableGrid">
    <w:name w:val="Table Grid"/>
    <w:basedOn w:val="TableNormal"/>
    <w:uiPriority w:val="39"/>
    <w:rsid w:val="00DF3B1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7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4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7F42E-3C64-4BEC-89A7-2FB12CAE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4214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Scott W</dc:creator>
  <cp:keywords/>
  <dc:description/>
  <cp:lastModifiedBy>Phillips, Scott W</cp:lastModifiedBy>
  <cp:revision>2</cp:revision>
  <cp:lastPrinted>2021-11-09T14:52:00Z</cp:lastPrinted>
  <dcterms:created xsi:type="dcterms:W3CDTF">2021-11-09T16:09:00Z</dcterms:created>
  <dcterms:modified xsi:type="dcterms:W3CDTF">2021-11-09T16:09:00Z</dcterms:modified>
</cp:coreProperties>
</file>